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8F" w:rsidRPr="00AD44D4" w:rsidRDefault="00366F8F" w:rsidP="00366F8F">
      <w:pPr>
        <w:pStyle w:val="Heading1"/>
      </w:pPr>
      <w:bookmarkStart w:id="0" w:name="_Toc459732909"/>
      <w:r w:rsidRPr="00AD44D4">
        <w:t>A comparative analysis using Gross Margin for grain and sheep enterprises</w:t>
      </w:r>
      <w:bookmarkEnd w:id="0"/>
    </w:p>
    <w:p w:rsidR="00366F8F" w:rsidRDefault="00366F8F" w:rsidP="00366F8F">
      <w:pPr>
        <w:pStyle w:val="Heading2"/>
        <w:rPr>
          <w:rFonts w:cs="Arial"/>
          <w:sz w:val="24"/>
          <w:szCs w:val="24"/>
        </w:rPr>
      </w:pPr>
      <w:bookmarkStart w:id="1" w:name="_Toc459732910"/>
      <w:r w:rsidRPr="00AD44D4">
        <w:rPr>
          <w:rFonts w:cs="Arial"/>
          <w:sz w:val="24"/>
          <w:szCs w:val="24"/>
        </w:rPr>
        <w:t>Ashley Herbert, Farm Management Consultant, Agrarian Management</w:t>
      </w:r>
      <w:bookmarkEnd w:id="1"/>
    </w:p>
    <w:p w:rsidR="00366F8F" w:rsidRPr="00366F8F" w:rsidRDefault="00366F8F" w:rsidP="00366F8F"/>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8522"/>
      </w:tblGrid>
      <w:tr w:rsidR="00366F8F" w:rsidRPr="00AD44D4" w:rsidTr="00366F8F">
        <w:trPr>
          <w:cnfStyle w:val="100000000000" w:firstRow="1" w:lastRow="0" w:firstColumn="0" w:lastColumn="0" w:oddVBand="0" w:evenVBand="0" w:oddHBand="0" w:evenHBand="0" w:firstRowFirstColumn="0" w:firstRowLastColumn="0" w:lastRowFirstColumn="0" w:lastRowLastColumn="0"/>
        </w:trPr>
        <w:tc>
          <w:tcPr>
            <w:tcW w:w="8522" w:type="dxa"/>
            <w:shd w:val="clear" w:color="auto" w:fill="auto"/>
          </w:tcPr>
          <w:p w:rsidR="00366F8F" w:rsidRDefault="00366F8F" w:rsidP="000A0A49">
            <w:pPr>
              <w:rPr>
                <w:rFonts w:eastAsia="Arial" w:cs="Arial"/>
                <w:szCs w:val="24"/>
              </w:rPr>
            </w:pPr>
            <w:r w:rsidRPr="00AD44D4">
              <w:rPr>
                <w:rFonts w:eastAsia="Arial" w:cs="Arial"/>
                <w:szCs w:val="24"/>
              </w:rPr>
              <w:t xml:space="preserve"> </w:t>
            </w:r>
          </w:p>
          <w:p w:rsidR="00366F8F" w:rsidRPr="00AD44D4" w:rsidRDefault="00366F8F" w:rsidP="00366F8F">
            <w:pPr>
              <w:rPr>
                <w:rFonts w:cs="Arial"/>
                <w:b w:val="0"/>
                <w:szCs w:val="24"/>
              </w:rPr>
            </w:pPr>
            <w:r w:rsidRPr="00AD44D4">
              <w:rPr>
                <w:rFonts w:cs="Arial"/>
                <w:b w:val="0"/>
                <w:color w:val="000000" w:themeColor="text1"/>
                <w:szCs w:val="24"/>
              </w:rPr>
              <w:t>This analysis was commissioned by the Sheep Industry Business Innovation project as part of its work around understanding the barriers to increasing supply of lambs in WA and a full report will be available at</w:t>
            </w:r>
            <w:r w:rsidRPr="00AD44D4">
              <w:rPr>
                <w:rFonts w:cs="Arial"/>
                <w:b w:val="0"/>
                <w:color w:val="1F497D"/>
                <w:szCs w:val="24"/>
              </w:rPr>
              <w:t xml:space="preserve"> </w:t>
            </w:r>
            <w:hyperlink r:id="rId5" w:history="1">
              <w:r w:rsidRPr="00AD44D4">
                <w:rPr>
                  <w:rStyle w:val="Hyperlink"/>
                  <w:rFonts w:cs="Arial"/>
                  <w:b w:val="0"/>
                  <w:szCs w:val="24"/>
                </w:rPr>
                <w:t>www.agric.wa.gov.au/sibi</w:t>
              </w:r>
            </w:hyperlink>
            <w:r w:rsidRPr="00AD44D4">
              <w:rPr>
                <w:rFonts w:cs="Arial"/>
                <w:b w:val="0"/>
                <w:color w:val="1F497D"/>
                <w:szCs w:val="24"/>
              </w:rPr>
              <w:t xml:space="preserve"> </w:t>
            </w:r>
            <w:r w:rsidRPr="00AD44D4">
              <w:rPr>
                <w:rFonts w:cs="Arial"/>
                <w:b w:val="0"/>
                <w:color w:val="000000" w:themeColor="text1"/>
                <w:szCs w:val="24"/>
              </w:rPr>
              <w:t>after the Sheep Updates.</w:t>
            </w:r>
          </w:p>
        </w:tc>
      </w:tr>
    </w:tbl>
    <w:p w:rsidR="00366F8F" w:rsidRDefault="00366F8F" w:rsidP="00366F8F">
      <w:pPr>
        <w:rPr>
          <w:rFonts w:cs="Arial"/>
          <w:szCs w:val="24"/>
        </w:rPr>
      </w:pPr>
    </w:p>
    <w:p w:rsidR="00366F8F" w:rsidRPr="00AD44D4" w:rsidRDefault="00366F8F" w:rsidP="00366F8F">
      <w:pPr>
        <w:rPr>
          <w:rFonts w:cs="Arial"/>
          <w:szCs w:val="24"/>
        </w:rPr>
      </w:pPr>
      <w:r w:rsidRPr="00AD44D4">
        <w:rPr>
          <w:rFonts w:cs="Arial"/>
          <w:szCs w:val="24"/>
        </w:rPr>
        <w:t>It is generally accepted that cropping is more profitable than the sheep enterprise.  However, the difference has been reduced significantly by the high prices currently being received for sheep and wool and poor pricing expected for cereals.</w:t>
      </w:r>
      <w:bookmarkStart w:id="2" w:name="_GoBack"/>
      <w:bookmarkEnd w:id="2"/>
    </w:p>
    <w:p w:rsidR="00366F8F" w:rsidRPr="00AD44D4" w:rsidRDefault="00366F8F" w:rsidP="00366F8F">
      <w:pPr>
        <w:rPr>
          <w:rFonts w:cs="Arial"/>
          <w:szCs w:val="24"/>
        </w:rPr>
      </w:pPr>
      <w:r w:rsidRPr="00AD44D4">
        <w:rPr>
          <w:rFonts w:cs="Arial"/>
          <w:szCs w:val="24"/>
        </w:rPr>
        <w:t xml:space="preserve">Currently, the sheep enterprise is generating gross margins in the range of $35 – $45/ </w:t>
      </w:r>
      <w:proofErr w:type="spellStart"/>
      <w:r w:rsidRPr="00AD44D4">
        <w:rPr>
          <w:rFonts w:cs="Arial"/>
          <w:szCs w:val="24"/>
        </w:rPr>
        <w:t>dse</w:t>
      </w:r>
      <w:proofErr w:type="spellEnd"/>
      <w:r w:rsidRPr="00AD44D4">
        <w:rPr>
          <w:rFonts w:cs="Arial"/>
          <w:szCs w:val="24"/>
        </w:rPr>
        <w:t>.  This is significantly above the medium term average of $25/</w:t>
      </w:r>
      <w:proofErr w:type="spellStart"/>
      <w:r w:rsidRPr="00AD44D4">
        <w:rPr>
          <w:rFonts w:cs="Arial"/>
          <w:szCs w:val="24"/>
        </w:rPr>
        <w:t>dse</w:t>
      </w:r>
      <w:proofErr w:type="spellEnd"/>
      <w:r w:rsidRPr="00AD44D4">
        <w:rPr>
          <w:rFonts w:cs="Arial"/>
          <w:szCs w:val="24"/>
        </w:rPr>
        <w:t>.</w:t>
      </w:r>
    </w:p>
    <w:p w:rsidR="00366F8F" w:rsidRPr="00AD44D4" w:rsidRDefault="00366F8F" w:rsidP="00366F8F">
      <w:pPr>
        <w:rPr>
          <w:rFonts w:cs="Arial"/>
          <w:szCs w:val="24"/>
        </w:rPr>
      </w:pPr>
      <w:r w:rsidRPr="00AD44D4">
        <w:rPr>
          <w:rFonts w:cs="Arial"/>
          <w:szCs w:val="24"/>
        </w:rPr>
        <w:t>The figures in table 1 illustrate the comparative gross margins for crops and sheep enterprises typical for the West Katanning area.  The two scenarios presented represent an average outlook for production and an above average outlook reflecting the exceptional seasonal conditions of 2016.</w:t>
      </w:r>
    </w:p>
    <w:p w:rsidR="00366F8F" w:rsidRPr="00AD44D4" w:rsidRDefault="00366F8F" w:rsidP="00366F8F">
      <w:pPr>
        <w:rPr>
          <w:rFonts w:cs="Arial"/>
          <w:szCs w:val="24"/>
        </w:rPr>
      </w:pPr>
      <w:r w:rsidRPr="00AD44D4">
        <w:rPr>
          <w:rFonts w:cs="Arial"/>
          <w:szCs w:val="24"/>
        </w:rPr>
        <w:t>At average production levels there is very little difference in the profitability between the crop and sheep enterprises at current grain prices.  Significantly above average production is required for cropping to maintain a significant profit advantage over sheep.</w:t>
      </w:r>
    </w:p>
    <w:p w:rsidR="00366F8F" w:rsidRPr="00AD44D4" w:rsidRDefault="00366F8F" w:rsidP="00366F8F">
      <w:pPr>
        <w:pStyle w:val="Caption"/>
        <w:rPr>
          <w:rFonts w:cs="Arial"/>
          <w:szCs w:val="24"/>
        </w:rPr>
      </w:pPr>
      <w:proofErr w:type="spellStart"/>
      <w:proofErr w:type="gramStart"/>
      <w:r w:rsidRPr="00AD44D4">
        <w:rPr>
          <w:rFonts w:cs="Arial"/>
          <w:szCs w:val="24"/>
        </w:rPr>
        <w:t>Table1</w:t>
      </w:r>
      <w:proofErr w:type="spellEnd"/>
      <w:r w:rsidRPr="00AD44D4">
        <w:rPr>
          <w:rFonts w:cs="Arial"/>
          <w:szCs w:val="24"/>
        </w:rPr>
        <w:t xml:space="preserve">  Estimated</w:t>
      </w:r>
      <w:proofErr w:type="gramEnd"/>
      <w:r w:rsidRPr="00AD44D4">
        <w:rPr>
          <w:rFonts w:cs="Arial"/>
          <w:szCs w:val="24"/>
        </w:rPr>
        <w:t xml:space="preserve"> enterprise gross margins with current price expectations for the 2016 season for West Katanning WA</w:t>
      </w:r>
    </w:p>
    <w:tbl>
      <w:tblPr>
        <w:tblStyle w:val="TableGrid"/>
        <w:tblW w:w="0" w:type="auto"/>
        <w:tblLook w:val="04A0" w:firstRow="1" w:lastRow="0" w:firstColumn="1" w:lastColumn="0" w:noHBand="0" w:noVBand="1"/>
      </w:tblPr>
      <w:tblGrid>
        <w:gridCol w:w="1489"/>
        <w:gridCol w:w="1383"/>
        <w:gridCol w:w="1421"/>
        <w:gridCol w:w="1400"/>
        <w:gridCol w:w="1404"/>
        <w:gridCol w:w="1425"/>
      </w:tblGrid>
      <w:tr w:rsidR="00366F8F" w:rsidRPr="00AD44D4" w:rsidTr="000A0A49">
        <w:trPr>
          <w:cnfStyle w:val="100000000000" w:firstRow="1" w:lastRow="0" w:firstColumn="0" w:lastColumn="0" w:oddVBand="0" w:evenVBand="0" w:oddHBand="0" w:evenHBand="0" w:firstRowFirstColumn="0" w:firstRowLastColumn="0" w:lastRowFirstColumn="0" w:lastRowLastColumn="0"/>
        </w:trPr>
        <w:tc>
          <w:tcPr>
            <w:tcW w:w="1560" w:type="dxa"/>
          </w:tcPr>
          <w:p w:rsidR="00366F8F" w:rsidRPr="00AD44D4" w:rsidRDefault="00366F8F" w:rsidP="000A0A49">
            <w:pPr>
              <w:ind w:left="118"/>
              <w:jc w:val="center"/>
              <w:rPr>
                <w:rFonts w:cs="Arial"/>
                <w:color w:val="FFFFFF" w:themeColor="background1"/>
                <w:szCs w:val="24"/>
              </w:rPr>
            </w:pPr>
            <w:r w:rsidRPr="00AD44D4">
              <w:rPr>
                <w:rFonts w:cs="Arial"/>
                <w:color w:val="FFFFFF" w:themeColor="background1"/>
                <w:szCs w:val="24"/>
              </w:rPr>
              <w:t xml:space="preserve"> </w:t>
            </w:r>
          </w:p>
        </w:tc>
        <w:tc>
          <w:tcPr>
            <w:tcW w:w="1560" w:type="dxa"/>
          </w:tcPr>
          <w:p w:rsidR="00366F8F" w:rsidRPr="00AD44D4" w:rsidRDefault="00366F8F" w:rsidP="000A0A49">
            <w:pPr>
              <w:ind w:left="118"/>
              <w:jc w:val="center"/>
              <w:rPr>
                <w:rFonts w:cs="Arial"/>
                <w:color w:val="FFFFFF" w:themeColor="background1"/>
                <w:szCs w:val="24"/>
              </w:rPr>
            </w:pPr>
            <w:r w:rsidRPr="00AD44D4">
              <w:rPr>
                <w:rFonts w:cs="Arial"/>
                <w:color w:val="FFFFFF" w:themeColor="background1"/>
                <w:szCs w:val="24"/>
              </w:rPr>
              <w:t>Prime lamb</w:t>
            </w:r>
          </w:p>
        </w:tc>
        <w:tc>
          <w:tcPr>
            <w:tcW w:w="1560" w:type="dxa"/>
          </w:tcPr>
          <w:p w:rsidR="00366F8F" w:rsidRPr="00AD44D4" w:rsidRDefault="00366F8F" w:rsidP="000A0A49">
            <w:pPr>
              <w:ind w:left="118"/>
              <w:jc w:val="center"/>
              <w:rPr>
                <w:rFonts w:cs="Arial"/>
                <w:color w:val="FFFFFF" w:themeColor="background1"/>
                <w:szCs w:val="24"/>
              </w:rPr>
            </w:pPr>
            <w:r w:rsidRPr="00AD44D4">
              <w:rPr>
                <w:rFonts w:cs="Arial"/>
                <w:color w:val="FFFFFF" w:themeColor="background1"/>
                <w:szCs w:val="24"/>
              </w:rPr>
              <w:t>Merino</w:t>
            </w:r>
          </w:p>
        </w:tc>
        <w:tc>
          <w:tcPr>
            <w:tcW w:w="1560" w:type="dxa"/>
          </w:tcPr>
          <w:p w:rsidR="00366F8F" w:rsidRPr="00AD44D4" w:rsidRDefault="00366F8F" w:rsidP="000A0A49">
            <w:pPr>
              <w:ind w:left="118"/>
              <w:jc w:val="center"/>
              <w:rPr>
                <w:rFonts w:cs="Arial"/>
                <w:color w:val="FFFFFF" w:themeColor="background1"/>
                <w:szCs w:val="24"/>
              </w:rPr>
            </w:pPr>
            <w:r w:rsidRPr="00AD44D4">
              <w:rPr>
                <w:rFonts w:cs="Arial"/>
                <w:color w:val="FFFFFF" w:themeColor="background1"/>
                <w:szCs w:val="24"/>
              </w:rPr>
              <w:t>Wheat</w:t>
            </w:r>
          </w:p>
        </w:tc>
        <w:tc>
          <w:tcPr>
            <w:tcW w:w="1560" w:type="dxa"/>
          </w:tcPr>
          <w:p w:rsidR="00366F8F" w:rsidRPr="00AD44D4" w:rsidRDefault="00366F8F" w:rsidP="000A0A49">
            <w:pPr>
              <w:ind w:left="118"/>
              <w:jc w:val="center"/>
              <w:rPr>
                <w:rFonts w:cs="Arial"/>
                <w:color w:val="FFFFFF" w:themeColor="background1"/>
                <w:szCs w:val="24"/>
              </w:rPr>
            </w:pPr>
            <w:r w:rsidRPr="00AD44D4">
              <w:rPr>
                <w:rFonts w:cs="Arial"/>
                <w:color w:val="FFFFFF" w:themeColor="background1"/>
                <w:szCs w:val="24"/>
              </w:rPr>
              <w:t>Barley</w:t>
            </w:r>
          </w:p>
        </w:tc>
        <w:tc>
          <w:tcPr>
            <w:tcW w:w="1560" w:type="dxa"/>
          </w:tcPr>
          <w:p w:rsidR="00366F8F" w:rsidRPr="00AD44D4" w:rsidRDefault="00366F8F" w:rsidP="000A0A49">
            <w:pPr>
              <w:ind w:left="118"/>
              <w:jc w:val="center"/>
              <w:rPr>
                <w:rFonts w:cs="Arial"/>
                <w:color w:val="FFFFFF" w:themeColor="background1"/>
                <w:szCs w:val="24"/>
              </w:rPr>
            </w:pPr>
            <w:r w:rsidRPr="00AD44D4">
              <w:rPr>
                <w:rFonts w:cs="Arial"/>
                <w:color w:val="FFFFFF" w:themeColor="background1"/>
                <w:szCs w:val="24"/>
              </w:rPr>
              <w:t>Canola</w:t>
            </w:r>
          </w:p>
        </w:tc>
      </w:tr>
      <w:tr w:rsidR="00366F8F" w:rsidRPr="00AD44D4" w:rsidTr="000A0A49">
        <w:tc>
          <w:tcPr>
            <w:tcW w:w="1560" w:type="dxa"/>
          </w:tcPr>
          <w:p w:rsidR="00366F8F" w:rsidRPr="00AD44D4" w:rsidRDefault="00366F8F" w:rsidP="000A0A49">
            <w:pPr>
              <w:rPr>
                <w:rFonts w:cs="Arial"/>
                <w:szCs w:val="24"/>
              </w:rPr>
            </w:pPr>
            <w:r w:rsidRPr="00AD44D4">
              <w:rPr>
                <w:rFonts w:cs="Arial"/>
                <w:szCs w:val="24"/>
              </w:rPr>
              <w:t xml:space="preserve">Average production </w:t>
            </w:r>
          </w:p>
        </w:tc>
        <w:tc>
          <w:tcPr>
            <w:tcW w:w="1560" w:type="dxa"/>
          </w:tcPr>
          <w:p w:rsidR="00366F8F" w:rsidRPr="00AD44D4" w:rsidRDefault="00366F8F" w:rsidP="000A0A49">
            <w:pPr>
              <w:ind w:left="118"/>
              <w:jc w:val="center"/>
              <w:rPr>
                <w:rFonts w:cs="Arial"/>
                <w:szCs w:val="24"/>
              </w:rPr>
            </w:pPr>
            <w:r w:rsidRPr="00AD44D4">
              <w:rPr>
                <w:rFonts w:cs="Arial"/>
                <w:szCs w:val="24"/>
              </w:rPr>
              <w:t>$385</w:t>
            </w:r>
          </w:p>
        </w:tc>
        <w:tc>
          <w:tcPr>
            <w:tcW w:w="1560" w:type="dxa"/>
          </w:tcPr>
          <w:p w:rsidR="00366F8F" w:rsidRPr="00AD44D4" w:rsidRDefault="00366F8F" w:rsidP="000A0A49">
            <w:pPr>
              <w:ind w:left="118"/>
              <w:jc w:val="center"/>
              <w:rPr>
                <w:rFonts w:cs="Arial"/>
                <w:szCs w:val="24"/>
              </w:rPr>
            </w:pPr>
            <w:r w:rsidRPr="00AD44D4">
              <w:rPr>
                <w:rFonts w:cs="Arial"/>
                <w:szCs w:val="24"/>
              </w:rPr>
              <w:t>$349</w:t>
            </w:r>
          </w:p>
        </w:tc>
        <w:tc>
          <w:tcPr>
            <w:tcW w:w="1560" w:type="dxa"/>
          </w:tcPr>
          <w:p w:rsidR="00366F8F" w:rsidRPr="00AD44D4" w:rsidRDefault="00366F8F" w:rsidP="000A0A49">
            <w:pPr>
              <w:ind w:left="118"/>
              <w:jc w:val="center"/>
              <w:rPr>
                <w:rFonts w:cs="Arial"/>
                <w:szCs w:val="24"/>
              </w:rPr>
            </w:pPr>
            <w:r w:rsidRPr="00AD44D4">
              <w:rPr>
                <w:rFonts w:cs="Arial"/>
                <w:szCs w:val="24"/>
              </w:rPr>
              <w:t>$394</w:t>
            </w:r>
          </w:p>
        </w:tc>
        <w:tc>
          <w:tcPr>
            <w:tcW w:w="1560" w:type="dxa"/>
          </w:tcPr>
          <w:p w:rsidR="00366F8F" w:rsidRPr="00AD44D4" w:rsidRDefault="00366F8F" w:rsidP="000A0A49">
            <w:pPr>
              <w:ind w:left="118"/>
              <w:jc w:val="center"/>
              <w:rPr>
                <w:rFonts w:cs="Arial"/>
                <w:szCs w:val="24"/>
              </w:rPr>
            </w:pPr>
            <w:r w:rsidRPr="00AD44D4">
              <w:rPr>
                <w:rFonts w:cs="Arial"/>
                <w:szCs w:val="24"/>
              </w:rPr>
              <w:t>$327</w:t>
            </w:r>
          </w:p>
        </w:tc>
        <w:tc>
          <w:tcPr>
            <w:tcW w:w="1560" w:type="dxa"/>
          </w:tcPr>
          <w:p w:rsidR="00366F8F" w:rsidRPr="00AD44D4" w:rsidRDefault="00366F8F" w:rsidP="000A0A49">
            <w:pPr>
              <w:ind w:left="118"/>
              <w:jc w:val="center"/>
              <w:rPr>
                <w:rFonts w:cs="Arial"/>
                <w:szCs w:val="24"/>
              </w:rPr>
            </w:pPr>
            <w:r w:rsidRPr="00AD44D4">
              <w:rPr>
                <w:rFonts w:cs="Arial"/>
                <w:szCs w:val="24"/>
              </w:rPr>
              <w:t>$454</w:t>
            </w:r>
          </w:p>
        </w:tc>
      </w:tr>
      <w:tr w:rsidR="00366F8F" w:rsidRPr="00AD44D4" w:rsidTr="000A0A49">
        <w:tc>
          <w:tcPr>
            <w:tcW w:w="1560" w:type="dxa"/>
          </w:tcPr>
          <w:p w:rsidR="00366F8F" w:rsidRPr="00AD44D4" w:rsidRDefault="00366F8F" w:rsidP="000A0A49">
            <w:pPr>
              <w:rPr>
                <w:rFonts w:cs="Arial"/>
                <w:szCs w:val="24"/>
              </w:rPr>
            </w:pPr>
            <w:r w:rsidRPr="00AD44D4">
              <w:rPr>
                <w:rFonts w:cs="Arial"/>
                <w:szCs w:val="24"/>
              </w:rPr>
              <w:t>Current season production estimates</w:t>
            </w:r>
          </w:p>
        </w:tc>
        <w:tc>
          <w:tcPr>
            <w:tcW w:w="1560" w:type="dxa"/>
          </w:tcPr>
          <w:p w:rsidR="00366F8F" w:rsidRPr="00AD44D4" w:rsidRDefault="00366F8F" w:rsidP="000A0A49">
            <w:pPr>
              <w:ind w:left="118"/>
              <w:jc w:val="center"/>
              <w:rPr>
                <w:rFonts w:cs="Arial"/>
                <w:szCs w:val="24"/>
              </w:rPr>
            </w:pPr>
            <w:r w:rsidRPr="00AD44D4">
              <w:rPr>
                <w:rFonts w:cs="Arial"/>
                <w:szCs w:val="24"/>
              </w:rPr>
              <w:t>$450</w:t>
            </w:r>
          </w:p>
        </w:tc>
        <w:tc>
          <w:tcPr>
            <w:tcW w:w="1560" w:type="dxa"/>
          </w:tcPr>
          <w:p w:rsidR="00366F8F" w:rsidRPr="00AD44D4" w:rsidRDefault="00366F8F" w:rsidP="000A0A49">
            <w:pPr>
              <w:ind w:left="118"/>
              <w:jc w:val="center"/>
              <w:rPr>
                <w:rFonts w:cs="Arial"/>
                <w:szCs w:val="24"/>
              </w:rPr>
            </w:pPr>
            <w:r w:rsidRPr="00AD44D4">
              <w:rPr>
                <w:rFonts w:cs="Arial"/>
                <w:szCs w:val="24"/>
              </w:rPr>
              <w:t>$409</w:t>
            </w:r>
          </w:p>
        </w:tc>
        <w:tc>
          <w:tcPr>
            <w:tcW w:w="1560" w:type="dxa"/>
          </w:tcPr>
          <w:p w:rsidR="00366F8F" w:rsidRPr="00AD44D4" w:rsidRDefault="00366F8F" w:rsidP="000A0A49">
            <w:pPr>
              <w:ind w:left="118"/>
              <w:jc w:val="center"/>
              <w:rPr>
                <w:rFonts w:cs="Arial"/>
                <w:szCs w:val="24"/>
              </w:rPr>
            </w:pPr>
            <w:r w:rsidRPr="00AD44D4">
              <w:rPr>
                <w:rFonts w:cs="Arial"/>
                <w:szCs w:val="24"/>
              </w:rPr>
              <w:t>$561</w:t>
            </w:r>
          </w:p>
        </w:tc>
        <w:tc>
          <w:tcPr>
            <w:tcW w:w="1560" w:type="dxa"/>
          </w:tcPr>
          <w:p w:rsidR="00366F8F" w:rsidRPr="00AD44D4" w:rsidRDefault="00366F8F" w:rsidP="000A0A49">
            <w:pPr>
              <w:ind w:left="118"/>
              <w:jc w:val="center"/>
              <w:rPr>
                <w:rFonts w:cs="Arial"/>
                <w:szCs w:val="24"/>
              </w:rPr>
            </w:pPr>
            <w:r w:rsidRPr="00AD44D4">
              <w:rPr>
                <w:rFonts w:cs="Arial"/>
                <w:szCs w:val="24"/>
              </w:rPr>
              <w:t>$434</w:t>
            </w:r>
          </w:p>
        </w:tc>
        <w:tc>
          <w:tcPr>
            <w:tcW w:w="1560" w:type="dxa"/>
          </w:tcPr>
          <w:p w:rsidR="00366F8F" w:rsidRPr="00AD44D4" w:rsidRDefault="00366F8F" w:rsidP="000A0A49">
            <w:pPr>
              <w:ind w:left="118"/>
              <w:jc w:val="center"/>
              <w:rPr>
                <w:rFonts w:cs="Arial"/>
                <w:szCs w:val="24"/>
              </w:rPr>
            </w:pPr>
            <w:r w:rsidRPr="00AD44D4">
              <w:rPr>
                <w:rFonts w:cs="Arial"/>
                <w:szCs w:val="24"/>
              </w:rPr>
              <w:t>$595</w:t>
            </w:r>
          </w:p>
        </w:tc>
      </w:tr>
    </w:tbl>
    <w:p w:rsidR="00366F8F" w:rsidRPr="00AD44D4" w:rsidRDefault="00366F8F" w:rsidP="00366F8F">
      <w:pPr>
        <w:rPr>
          <w:rFonts w:cs="Arial"/>
          <w:szCs w:val="24"/>
        </w:rPr>
      </w:pPr>
      <w:r w:rsidRPr="00AD44D4">
        <w:rPr>
          <w:rFonts w:cs="Arial"/>
          <w:szCs w:val="24"/>
        </w:rPr>
        <w:t xml:space="preserve"> </w:t>
      </w:r>
    </w:p>
    <w:p w:rsidR="00AD5BE2" w:rsidRDefault="00AD5BE2"/>
    <w:sectPr w:rsidR="00AD5BE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8F"/>
    <w:rsid w:val="00366F8F"/>
    <w:rsid w:val="00AD5B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F8F"/>
    <w:pPr>
      <w:spacing w:after="160" w:line="259" w:lineRule="auto"/>
    </w:pPr>
    <w:rPr>
      <w:rFonts w:ascii="Arial" w:eastAsiaTheme="minorHAnsi" w:hAnsi="Arial" w:cstheme="minorBidi"/>
      <w:color w:val="404040" w:themeColor="text1" w:themeTint="BF"/>
      <w:sz w:val="24"/>
      <w:szCs w:val="22"/>
      <w:lang w:eastAsia="en-US"/>
    </w:rPr>
  </w:style>
  <w:style w:type="paragraph" w:styleId="Heading1">
    <w:name w:val="heading 1"/>
    <w:basedOn w:val="Normal"/>
    <w:next w:val="Normal"/>
    <w:link w:val="Heading1Char"/>
    <w:uiPriority w:val="9"/>
    <w:qFormat/>
    <w:rsid w:val="00366F8F"/>
    <w:pPr>
      <w:keepNext/>
      <w:keepLines/>
      <w:spacing w:before="360" w:after="120"/>
      <w:outlineLvl w:val="0"/>
    </w:pPr>
    <w:rPr>
      <w:rFonts w:eastAsiaTheme="majorEastAsia" w:cstheme="majorBidi"/>
      <w:b/>
      <w:color w:val="007D57"/>
      <w:sz w:val="32"/>
      <w:szCs w:val="32"/>
    </w:rPr>
  </w:style>
  <w:style w:type="paragraph" w:styleId="Heading2">
    <w:name w:val="heading 2"/>
    <w:basedOn w:val="Normal"/>
    <w:next w:val="Normal"/>
    <w:link w:val="Heading2Char"/>
    <w:unhideWhenUsed/>
    <w:qFormat/>
    <w:rsid w:val="00366F8F"/>
    <w:pPr>
      <w:keepNext/>
      <w:keepLines/>
      <w:spacing w:before="160" w:after="120"/>
      <w:outlineLvl w:val="1"/>
    </w:pPr>
    <w:rPr>
      <w:rFonts w:eastAsiaTheme="majorEastAsia" w:cstheme="majorBidi"/>
      <w:b/>
      <w:color w:val="003C6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F8F"/>
    <w:rPr>
      <w:rFonts w:ascii="Arial" w:eastAsiaTheme="majorEastAsia" w:hAnsi="Arial" w:cstheme="majorBidi"/>
      <w:b/>
      <w:color w:val="007D57"/>
      <w:sz w:val="32"/>
      <w:szCs w:val="32"/>
      <w:lang w:eastAsia="en-US"/>
    </w:rPr>
  </w:style>
  <w:style w:type="character" w:customStyle="1" w:styleId="Heading2Char">
    <w:name w:val="Heading 2 Char"/>
    <w:basedOn w:val="DefaultParagraphFont"/>
    <w:link w:val="Heading2"/>
    <w:rsid w:val="00366F8F"/>
    <w:rPr>
      <w:rFonts w:ascii="Arial" w:eastAsiaTheme="majorEastAsia" w:hAnsi="Arial" w:cstheme="majorBidi"/>
      <w:b/>
      <w:color w:val="003C69"/>
      <w:sz w:val="26"/>
      <w:szCs w:val="26"/>
      <w:lang w:eastAsia="en-US"/>
    </w:rPr>
  </w:style>
  <w:style w:type="table" w:styleId="TableGrid">
    <w:name w:val="Table Grid"/>
    <w:basedOn w:val="TableNormal"/>
    <w:uiPriority w:val="59"/>
    <w:rsid w:val="00366F8F"/>
    <w:rPr>
      <w:rFonts w:ascii="Arial" w:eastAsiaTheme="minorHAnsi" w:hAnsi="Arial" w:cstheme="minorBidi"/>
      <w:color w:val="404040" w:themeColor="text1" w:themeTint="BF"/>
      <w:sz w:val="22"/>
      <w:szCs w:val="22"/>
      <w:lang w:eastAsia="en-US"/>
    </w:rPr>
    <w:tblPr>
      <w:tblInd w:w="0" w:type="dxa"/>
      <w:tblBorders>
        <w:top w:val="single" w:sz="4" w:space="0" w:color="007D57"/>
        <w:left w:val="single" w:sz="4" w:space="0" w:color="007D57"/>
        <w:bottom w:val="single" w:sz="4" w:space="0" w:color="007D57"/>
        <w:right w:val="single" w:sz="4" w:space="0" w:color="007D57"/>
        <w:insideH w:val="single" w:sz="4" w:space="0" w:color="007D57"/>
        <w:insideV w:val="single" w:sz="4" w:space="0" w:color="007D57"/>
      </w:tblBorders>
      <w:tblCellMar>
        <w:top w:w="0" w:type="dxa"/>
        <w:left w:w="108" w:type="dxa"/>
        <w:bottom w:w="0" w:type="dxa"/>
        <w:right w:w="108" w:type="dxa"/>
      </w:tblCellMar>
    </w:tblPr>
    <w:tcPr>
      <w:vAlign w:val="center"/>
    </w:tcPr>
    <w:tblStylePr w:type="firstRow">
      <w:pPr>
        <w:jc w:val="left"/>
      </w:pPr>
      <w:rPr>
        <w:rFonts w:ascii="Arial" w:hAnsi="Arial"/>
        <w:b/>
        <w:color w:val="FFFFFF" w:themeColor="background1"/>
        <w:sz w:val="22"/>
      </w:rPr>
      <w:tblPr/>
      <w:tcPr>
        <w:tcBorders>
          <w:insideH w:val="single" w:sz="4" w:space="0" w:color="FFFFFF"/>
          <w:insideV w:val="single" w:sz="4" w:space="0" w:color="FFFFFF"/>
        </w:tcBorders>
        <w:shd w:val="clear" w:color="auto" w:fill="007D57"/>
      </w:tcPr>
    </w:tblStylePr>
  </w:style>
  <w:style w:type="character" w:styleId="Hyperlink">
    <w:name w:val="Hyperlink"/>
    <w:basedOn w:val="DefaultParagraphFont"/>
    <w:uiPriority w:val="99"/>
    <w:unhideWhenUsed/>
    <w:rsid w:val="00366F8F"/>
    <w:rPr>
      <w:color w:val="0000FF" w:themeColor="hyperlink"/>
      <w:u w:val="single"/>
    </w:rPr>
  </w:style>
  <w:style w:type="paragraph" w:styleId="Caption">
    <w:name w:val="caption"/>
    <w:basedOn w:val="Normal"/>
    <w:next w:val="Normal"/>
    <w:uiPriority w:val="35"/>
    <w:unhideWhenUsed/>
    <w:qFormat/>
    <w:rsid w:val="00366F8F"/>
    <w:pPr>
      <w:spacing w:after="200" w:line="240" w:lineRule="auto"/>
    </w:pPr>
    <w:rPr>
      <w:iCs/>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F8F"/>
    <w:pPr>
      <w:spacing w:after="160" w:line="259" w:lineRule="auto"/>
    </w:pPr>
    <w:rPr>
      <w:rFonts w:ascii="Arial" w:eastAsiaTheme="minorHAnsi" w:hAnsi="Arial" w:cstheme="minorBidi"/>
      <w:color w:val="404040" w:themeColor="text1" w:themeTint="BF"/>
      <w:sz w:val="24"/>
      <w:szCs w:val="22"/>
      <w:lang w:eastAsia="en-US"/>
    </w:rPr>
  </w:style>
  <w:style w:type="paragraph" w:styleId="Heading1">
    <w:name w:val="heading 1"/>
    <w:basedOn w:val="Normal"/>
    <w:next w:val="Normal"/>
    <w:link w:val="Heading1Char"/>
    <w:uiPriority w:val="9"/>
    <w:qFormat/>
    <w:rsid w:val="00366F8F"/>
    <w:pPr>
      <w:keepNext/>
      <w:keepLines/>
      <w:spacing w:before="360" w:after="120"/>
      <w:outlineLvl w:val="0"/>
    </w:pPr>
    <w:rPr>
      <w:rFonts w:eastAsiaTheme="majorEastAsia" w:cstheme="majorBidi"/>
      <w:b/>
      <w:color w:val="007D57"/>
      <w:sz w:val="32"/>
      <w:szCs w:val="32"/>
    </w:rPr>
  </w:style>
  <w:style w:type="paragraph" w:styleId="Heading2">
    <w:name w:val="heading 2"/>
    <w:basedOn w:val="Normal"/>
    <w:next w:val="Normal"/>
    <w:link w:val="Heading2Char"/>
    <w:unhideWhenUsed/>
    <w:qFormat/>
    <w:rsid w:val="00366F8F"/>
    <w:pPr>
      <w:keepNext/>
      <w:keepLines/>
      <w:spacing w:before="160" w:after="120"/>
      <w:outlineLvl w:val="1"/>
    </w:pPr>
    <w:rPr>
      <w:rFonts w:eastAsiaTheme="majorEastAsia" w:cstheme="majorBidi"/>
      <w:b/>
      <w:color w:val="003C6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F8F"/>
    <w:rPr>
      <w:rFonts w:ascii="Arial" w:eastAsiaTheme="majorEastAsia" w:hAnsi="Arial" w:cstheme="majorBidi"/>
      <w:b/>
      <w:color w:val="007D57"/>
      <w:sz w:val="32"/>
      <w:szCs w:val="32"/>
      <w:lang w:eastAsia="en-US"/>
    </w:rPr>
  </w:style>
  <w:style w:type="character" w:customStyle="1" w:styleId="Heading2Char">
    <w:name w:val="Heading 2 Char"/>
    <w:basedOn w:val="DefaultParagraphFont"/>
    <w:link w:val="Heading2"/>
    <w:rsid w:val="00366F8F"/>
    <w:rPr>
      <w:rFonts w:ascii="Arial" w:eastAsiaTheme="majorEastAsia" w:hAnsi="Arial" w:cstheme="majorBidi"/>
      <w:b/>
      <w:color w:val="003C69"/>
      <w:sz w:val="26"/>
      <w:szCs w:val="26"/>
      <w:lang w:eastAsia="en-US"/>
    </w:rPr>
  </w:style>
  <w:style w:type="table" w:styleId="TableGrid">
    <w:name w:val="Table Grid"/>
    <w:basedOn w:val="TableNormal"/>
    <w:uiPriority w:val="59"/>
    <w:rsid w:val="00366F8F"/>
    <w:rPr>
      <w:rFonts w:ascii="Arial" w:eastAsiaTheme="minorHAnsi" w:hAnsi="Arial" w:cstheme="minorBidi"/>
      <w:color w:val="404040" w:themeColor="text1" w:themeTint="BF"/>
      <w:sz w:val="22"/>
      <w:szCs w:val="22"/>
      <w:lang w:eastAsia="en-US"/>
    </w:rPr>
    <w:tblPr>
      <w:tblInd w:w="0" w:type="dxa"/>
      <w:tblBorders>
        <w:top w:val="single" w:sz="4" w:space="0" w:color="007D57"/>
        <w:left w:val="single" w:sz="4" w:space="0" w:color="007D57"/>
        <w:bottom w:val="single" w:sz="4" w:space="0" w:color="007D57"/>
        <w:right w:val="single" w:sz="4" w:space="0" w:color="007D57"/>
        <w:insideH w:val="single" w:sz="4" w:space="0" w:color="007D57"/>
        <w:insideV w:val="single" w:sz="4" w:space="0" w:color="007D57"/>
      </w:tblBorders>
      <w:tblCellMar>
        <w:top w:w="0" w:type="dxa"/>
        <w:left w:w="108" w:type="dxa"/>
        <w:bottom w:w="0" w:type="dxa"/>
        <w:right w:w="108" w:type="dxa"/>
      </w:tblCellMar>
    </w:tblPr>
    <w:tcPr>
      <w:vAlign w:val="center"/>
    </w:tcPr>
    <w:tblStylePr w:type="firstRow">
      <w:pPr>
        <w:jc w:val="left"/>
      </w:pPr>
      <w:rPr>
        <w:rFonts w:ascii="Arial" w:hAnsi="Arial"/>
        <w:b/>
        <w:color w:val="FFFFFF" w:themeColor="background1"/>
        <w:sz w:val="22"/>
      </w:rPr>
      <w:tblPr/>
      <w:tcPr>
        <w:tcBorders>
          <w:insideH w:val="single" w:sz="4" w:space="0" w:color="FFFFFF"/>
          <w:insideV w:val="single" w:sz="4" w:space="0" w:color="FFFFFF"/>
        </w:tcBorders>
        <w:shd w:val="clear" w:color="auto" w:fill="007D57"/>
      </w:tcPr>
    </w:tblStylePr>
  </w:style>
  <w:style w:type="character" w:styleId="Hyperlink">
    <w:name w:val="Hyperlink"/>
    <w:basedOn w:val="DefaultParagraphFont"/>
    <w:uiPriority w:val="99"/>
    <w:unhideWhenUsed/>
    <w:rsid w:val="00366F8F"/>
    <w:rPr>
      <w:color w:val="0000FF" w:themeColor="hyperlink"/>
      <w:u w:val="single"/>
    </w:rPr>
  </w:style>
  <w:style w:type="paragraph" w:styleId="Caption">
    <w:name w:val="caption"/>
    <w:basedOn w:val="Normal"/>
    <w:next w:val="Normal"/>
    <w:uiPriority w:val="35"/>
    <w:unhideWhenUsed/>
    <w:qFormat/>
    <w:rsid w:val="00366F8F"/>
    <w:pPr>
      <w:spacing w:after="200" w:line="240" w:lineRule="auto"/>
    </w:pPr>
    <w:rPr>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gric.wa.gov.au/sib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Agriculture and Food Western Australia</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jesmith</dc:creator>
  <cp:lastModifiedBy>jesmith</cp:lastModifiedBy>
  <cp:revision>1</cp:revision>
  <dcterms:created xsi:type="dcterms:W3CDTF">2016-09-05T03:27:00Z</dcterms:created>
  <dcterms:modified xsi:type="dcterms:W3CDTF">2016-09-05T03:27:00Z</dcterms:modified>
</cp:coreProperties>
</file>