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307458"/>
        <w:docPartObj>
          <w:docPartGallery w:val="Cover Pages"/>
          <w:docPartUnique/>
        </w:docPartObj>
      </w:sdtPr>
      <w:sdtEndPr/>
      <w:sdtContent>
        <w:p w:rsidR="00E33B2C" w:rsidRDefault="00E33B2C"/>
        <w:p w:rsidR="00CF5056" w:rsidRPr="00866885" w:rsidRDefault="00CF5056" w:rsidP="00CF5056"/>
        <w:p w:rsidR="00CF5056" w:rsidRDefault="00366E0C" w:rsidP="00CF5056">
          <w:pPr>
            <w:pStyle w:val="Title"/>
          </w:pPr>
          <w:r w:rsidRPr="00366E0C">
            <w:t xml:space="preserve">Agrifood 2025+: the opportunity for Western </w:t>
          </w:r>
          <w:r w:rsidR="00F07E55">
            <w:t>Australia</w:t>
          </w:r>
        </w:p>
        <w:p w:rsidR="00366E0C" w:rsidRPr="00366E0C" w:rsidRDefault="00366E0C" w:rsidP="00366E0C">
          <w:r w:rsidRPr="00366E0C">
            <w:t>This document summarises some of the key pieces of evidence that have informed DAFWA’s understanding of doubling the value of the agrifood sector between 2013 and 2025. Much of this evidence has come from reports commissioned by DAFWA. Click on the hyperlinks to access them.</w:t>
          </w:r>
        </w:p>
        <w:p w:rsidR="00366E0C" w:rsidRDefault="00366E0C" w:rsidP="00366E0C">
          <w:r w:rsidRPr="00366E0C">
            <w:t xml:space="preserve">Some mature industries, such as grains, do not feature strongly in this summary – they have not been the focus of recent DAFWA-commissioned research as their growth opportunity is already well understood and, for example, documented in the </w:t>
          </w:r>
          <w:r w:rsidRPr="00A6240F">
            <w:t>WA Grains Industry Strategy 2025+</w:t>
          </w:r>
          <w:r w:rsidR="00A6240F" w:rsidRPr="00A6240F">
            <w:t xml:space="preserve"> (GIWA 2015)</w:t>
          </w:r>
          <w:r w:rsidRPr="00A6240F">
            <w:t>.</w:t>
          </w:r>
        </w:p>
        <w:p w:rsidR="00366E0C" w:rsidRPr="00366E0C" w:rsidRDefault="00366E0C" w:rsidP="00366E0C">
          <w:pPr>
            <w:pStyle w:val="Heading1"/>
          </w:pPr>
          <w:r w:rsidRPr="00366E0C">
            <w:t>We know the opportunity</w:t>
          </w:r>
        </w:p>
        <w:p w:rsidR="00366E0C" w:rsidRDefault="00366E0C" w:rsidP="00366E0C">
          <w:pPr>
            <w:pStyle w:val="Heading2"/>
          </w:pPr>
          <w:r w:rsidRPr="00366E0C">
            <w:t>We know the opportunity for Australia</w:t>
          </w:r>
        </w:p>
        <w:p w:rsidR="00366E0C" w:rsidRPr="00366E0C" w:rsidRDefault="00366E0C" w:rsidP="00366E0C">
          <w:r w:rsidRPr="00366E0C">
            <w:t>Australia could more than double the real value of its agricultural exports, driven by growing global food demand, particularly from Asia.</w:t>
          </w:r>
        </w:p>
        <w:p w:rsidR="00366E0C" w:rsidRDefault="00366E0C" w:rsidP="00366E0C">
          <w:r w:rsidRPr="00366E0C">
            <w:t xml:space="preserve">Australia could capture an additional $0.7-1.7 trillion between 2012 and 2050 if targeted actions </w:t>
          </w:r>
          <w:r w:rsidR="004D1CEF">
            <w:t>are</w:t>
          </w:r>
          <w:r w:rsidR="004D1CEF" w:rsidRPr="00366E0C">
            <w:t xml:space="preserve"> </w:t>
          </w:r>
          <w:r w:rsidRPr="00366E0C">
            <w:t>taken</w:t>
          </w:r>
          <w:r w:rsidR="00A6240F">
            <w:t xml:space="preserve"> (ANZ 2012)</w:t>
          </w:r>
          <w:r w:rsidRPr="00366E0C">
            <w:t>.</w:t>
          </w:r>
        </w:p>
        <w:p w:rsidR="00366E0C" w:rsidRDefault="00366E0C" w:rsidP="00366E0C">
          <w:r>
            <w:rPr>
              <w:noProof/>
              <w:lang w:eastAsia="en-AU"/>
            </w:rPr>
            <w:drawing>
              <wp:inline distT="0" distB="0" distL="0" distR="0" wp14:anchorId="4FF25136" wp14:editId="1E225744">
                <wp:extent cx="3780430" cy="3833733"/>
                <wp:effectExtent l="0" t="0" r="0" b="0"/>
                <wp:docPr id="2" name="Picture 2" descr="Bubble diagram showing what Australian needs to achieve competitive advantage. It includes:&#10;- Robust and cost-competitive supply chains&#10;- Strong access and management of resources&#10;- Sufficient access to capital&#10;- Effective adoption of tailored knowledge&#10;- Targeted R&amp;D investment, and&#10;- Exposure to high-value markets.&#10;This leads to a strong competitive position realised through lower cost or differe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655"/>
                        <a:stretch/>
                      </pic:blipFill>
                      <pic:spPr bwMode="auto">
                        <a:xfrm>
                          <a:off x="0" y="0"/>
                          <a:ext cx="3780430" cy="3833733"/>
                        </a:xfrm>
                        <a:prstGeom prst="rect">
                          <a:avLst/>
                        </a:prstGeom>
                        <a:noFill/>
                        <a:ln>
                          <a:noFill/>
                        </a:ln>
                        <a:extLst>
                          <a:ext uri="{53640926-AAD7-44D8-BBD7-CCE9431645EC}">
                            <a14:shadowObscured xmlns:a14="http://schemas.microsoft.com/office/drawing/2010/main"/>
                          </a:ext>
                        </a:extLst>
                      </pic:spPr>
                    </pic:pic>
                  </a:graphicData>
                </a:graphic>
              </wp:inline>
            </w:drawing>
          </w:r>
        </w:p>
        <w:p w:rsidR="00366E0C" w:rsidRDefault="00366E0C" w:rsidP="00366E0C">
          <w:pPr>
            <w:rPr>
              <w:rFonts w:eastAsiaTheme="majorEastAsia" w:cstheme="majorBidi"/>
              <w:b/>
              <w:color w:val="003C69"/>
              <w:sz w:val="26"/>
              <w:szCs w:val="26"/>
            </w:rPr>
          </w:pPr>
          <w:r w:rsidRPr="00366E0C">
            <w:rPr>
              <w:rFonts w:eastAsiaTheme="majorEastAsia" w:cstheme="majorBidi"/>
              <w:b/>
              <w:color w:val="003C69"/>
              <w:sz w:val="26"/>
              <w:szCs w:val="26"/>
            </w:rPr>
            <w:lastRenderedPageBreak/>
            <w:t>We defined the opportunity for WA</w:t>
          </w:r>
        </w:p>
        <w:p w:rsidR="00366E0C" w:rsidRDefault="00366E0C" w:rsidP="00366E0C">
          <w:pPr>
            <w:rPr>
              <w:rFonts w:cs="Arial"/>
            </w:rPr>
          </w:pPr>
          <w:r w:rsidRPr="00B9417D">
            <w:rPr>
              <w:rFonts w:cs="Arial"/>
            </w:rPr>
            <w:t>WA industry and government set an aspirational target to double the real value of the sector between 2013 and 2025</w:t>
          </w:r>
          <w:r w:rsidR="00A6240F">
            <w:rPr>
              <w:rFonts w:cs="Arial"/>
            </w:rPr>
            <w:t xml:space="preserve"> (DAFWA 2012 and 2014)</w:t>
          </w:r>
          <w:r w:rsidRPr="00B9417D">
            <w:rPr>
              <w:rFonts w:cs="Arial"/>
            </w:rPr>
            <w:t>.</w:t>
          </w:r>
        </w:p>
        <w:p w:rsidR="00366E0C" w:rsidRDefault="00366E0C" w:rsidP="00366E0C">
          <w:pPr>
            <w:rPr>
              <w:rFonts w:cs="Arial"/>
            </w:rPr>
          </w:pPr>
          <w:r>
            <w:rPr>
              <w:rFonts w:cs="Arial"/>
            </w:rPr>
            <w:t>Government commenced t</w:t>
          </w:r>
          <w:r w:rsidRPr="00B9417D">
            <w:rPr>
              <w:rFonts w:cs="Arial"/>
            </w:rPr>
            <w:t>he Seizing the Opportunity</w:t>
          </w:r>
          <w:r>
            <w:rPr>
              <w:rFonts w:cs="Arial"/>
            </w:rPr>
            <w:t xml:space="preserve"> – Agriculture i</w:t>
          </w:r>
          <w:r w:rsidRPr="00B9417D">
            <w:rPr>
              <w:rFonts w:cs="Arial"/>
            </w:rPr>
            <w:t>nitiative to investigate and act on the opportunity.</w:t>
          </w:r>
        </w:p>
        <w:p w:rsidR="00366E0C" w:rsidRDefault="00366E0C" w:rsidP="00366E0C">
          <w:pPr>
            <w:rPr>
              <w:rFonts w:cs="Arial"/>
            </w:rPr>
          </w:pPr>
          <w:r>
            <w:rPr>
              <w:rFonts w:cs="Arial"/>
              <w:noProof/>
              <w:lang w:eastAsia="en-AU"/>
            </w:rPr>
            <w:drawing>
              <wp:inline distT="0" distB="0" distL="0" distR="0" wp14:anchorId="267A8C98" wp14:editId="4670623C">
                <wp:extent cx="3185796" cy="1245476"/>
                <wp:effectExtent l="0" t="0" r="0" b="0"/>
                <wp:docPr id="3" name="Picture 3" title="Agrifood 202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49948"/>
                        <a:stretch/>
                      </pic:blipFill>
                      <pic:spPr bwMode="auto">
                        <a:xfrm>
                          <a:off x="0" y="0"/>
                          <a:ext cx="3208386" cy="1254308"/>
                        </a:xfrm>
                        <a:prstGeom prst="rect">
                          <a:avLst/>
                        </a:prstGeom>
                        <a:noFill/>
                        <a:ln>
                          <a:noFill/>
                        </a:ln>
                        <a:extLst>
                          <a:ext uri="{53640926-AAD7-44D8-BBD7-CCE9431645EC}">
                            <a14:shadowObscured xmlns:a14="http://schemas.microsoft.com/office/drawing/2010/main"/>
                          </a:ext>
                        </a:extLst>
                      </pic:spPr>
                    </pic:pic>
                  </a:graphicData>
                </a:graphic>
              </wp:inline>
            </w:drawing>
          </w:r>
        </w:p>
        <w:p w:rsidR="00366E0C" w:rsidRDefault="00366E0C" w:rsidP="00366E0C">
          <w:pPr>
            <w:pStyle w:val="Heading2"/>
          </w:pPr>
          <w:r w:rsidRPr="00366E0C">
            <w:t>We know doubling is possible by 2025</w:t>
          </w:r>
        </w:p>
        <w:p w:rsidR="00366E0C" w:rsidRDefault="00366E0C" w:rsidP="00366E0C">
          <w:r>
            <w:t>We can double the real value of the WA agrifood sector.</w:t>
          </w:r>
        </w:p>
        <w:p w:rsidR="00366E0C" w:rsidRDefault="00366E0C" w:rsidP="00366E0C">
          <w:r>
            <w:t>Government and industry will need to partner more broadly and effectively.</w:t>
          </w:r>
        </w:p>
        <w:p w:rsidR="00366E0C" w:rsidRDefault="00366E0C" w:rsidP="00366E0C">
          <w:r>
            <w:t>Growth will mainly come from agrifood exports</w:t>
          </w:r>
          <w:r w:rsidR="00D5793A">
            <w:t xml:space="preserve"> (Coriolis </w:t>
          </w:r>
          <w:r w:rsidR="00C10B9D">
            <w:t>2015a and DAFWA 2016a)</w:t>
          </w:r>
          <w:r>
            <w:t>.</w:t>
          </w:r>
        </w:p>
        <w:p w:rsidR="004D1CEF" w:rsidRPr="0006371A" w:rsidRDefault="00366E0C">
          <w:r>
            <w:rPr>
              <w:noProof/>
              <w:lang w:eastAsia="en-AU"/>
            </w:rPr>
            <w:drawing>
              <wp:inline distT="0" distB="0" distL="0" distR="0" wp14:anchorId="6075686B" wp14:editId="1333BBCC">
                <wp:extent cx="6045958" cy="3077963"/>
                <wp:effectExtent l="0" t="0" r="0" b="8255"/>
                <wp:docPr id="4" name="Picture 4" descr="Bar graph showing the growth in food and beverage export value for WA and selected peers between 2003 and 2013. Western Austrlia has low growth, while countries like the USA, Netherlands and Denmark have experienced high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5958" cy="3077963"/>
                        </a:xfrm>
                        <a:prstGeom prst="rect">
                          <a:avLst/>
                        </a:prstGeom>
                        <a:noFill/>
                      </pic:spPr>
                    </pic:pic>
                  </a:graphicData>
                </a:graphic>
              </wp:inline>
            </w:drawing>
          </w:r>
          <w:r w:rsidR="004D1CEF">
            <w:br w:type="page"/>
          </w:r>
        </w:p>
        <w:p w:rsidR="00366E0C" w:rsidRDefault="00366E0C" w:rsidP="00366E0C">
          <w:pPr>
            <w:pStyle w:val="Heading2"/>
          </w:pPr>
          <w:r w:rsidRPr="00366E0C">
            <w:lastRenderedPageBreak/>
            <w:t>We know it has begun</w:t>
          </w:r>
        </w:p>
        <w:p w:rsidR="00366E0C" w:rsidRPr="00366E0C" w:rsidRDefault="00366E0C" w:rsidP="00366E0C">
          <w:r w:rsidRPr="00366E0C">
            <w:t>Many of our peers, and developing countries, have achieved the required growth rates.</w:t>
          </w:r>
        </w:p>
        <w:p w:rsidR="00366E0C" w:rsidRPr="00366E0C" w:rsidRDefault="00366E0C" w:rsidP="00366E0C">
          <w:r w:rsidRPr="00366E0C">
            <w:t xml:space="preserve">We need a 6% real compound annual growth rate to double. </w:t>
          </w:r>
        </w:p>
        <w:p w:rsidR="00366E0C" w:rsidRPr="003B7FFC" w:rsidRDefault="00366E0C" w:rsidP="00366E0C">
          <w:r w:rsidRPr="00366E0C">
            <w:t>It is starting to happen</w:t>
          </w:r>
          <w:r w:rsidR="00C10B9D">
            <w:t xml:space="preserve"> (Coriolis 2015a and DAFWA 2016a)</w:t>
          </w:r>
          <w:r w:rsidR="003B7FFC">
            <w:t>.</w:t>
          </w:r>
        </w:p>
        <w:p w:rsidR="00366E0C" w:rsidRDefault="00366E0C" w:rsidP="00366E0C">
          <w:bookmarkStart w:id="0" w:name="_GoBack"/>
          <w:r>
            <w:rPr>
              <w:noProof/>
              <w:lang w:eastAsia="en-AU"/>
            </w:rPr>
            <w:drawing>
              <wp:inline distT="0" distB="0" distL="0" distR="0" wp14:anchorId="42B83C4E" wp14:editId="30EE42D8">
                <wp:extent cx="5076825" cy="2746345"/>
                <wp:effectExtent l="0" t="0" r="0" b="0"/>
                <wp:docPr id="5" name="Picture 5" descr="Bar graph showing average WA annual export growth rates over time. Exports increased 0.4% annually between 1995/96 and 2005/06 and 3% annually between 2005/06 and 2014/15.  The graph shows a 6% average annual increase is needed between 2014/15 and 20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1005" cy="2748606"/>
                        </a:xfrm>
                        <a:prstGeom prst="rect">
                          <a:avLst/>
                        </a:prstGeom>
                        <a:noFill/>
                      </pic:spPr>
                    </pic:pic>
                  </a:graphicData>
                </a:graphic>
              </wp:inline>
            </w:drawing>
          </w:r>
          <w:bookmarkEnd w:id="0"/>
        </w:p>
        <w:p w:rsidR="00366E0C" w:rsidRDefault="00366E0C" w:rsidP="00366E0C">
          <w:pPr>
            <w:pStyle w:val="Heading1"/>
          </w:pPr>
          <w:r w:rsidRPr="00366E0C">
            <w:t>We know what needs to be done to realise the opportunity</w:t>
          </w:r>
        </w:p>
        <w:p w:rsidR="00366E0C" w:rsidRDefault="00366E0C" w:rsidP="00366E0C">
          <w:pPr>
            <w:pStyle w:val="Heading2"/>
          </w:pPr>
          <w:r w:rsidRPr="00366E0C">
            <w:t xml:space="preserve">We know the Asian market, what </w:t>
          </w:r>
          <w:r w:rsidR="004D1CEF">
            <w:t>it</w:t>
          </w:r>
          <w:r w:rsidR="004D1CEF" w:rsidRPr="00366E0C">
            <w:t xml:space="preserve"> </w:t>
          </w:r>
          <w:r w:rsidRPr="00366E0C">
            <w:t>want</w:t>
          </w:r>
          <w:r w:rsidR="004D1CEF">
            <w:t>s</w:t>
          </w:r>
          <w:r w:rsidRPr="00366E0C">
            <w:t xml:space="preserve"> and what WA can produce</w:t>
          </w:r>
        </w:p>
        <w:p w:rsidR="00366E0C" w:rsidRPr="00366E0C" w:rsidRDefault="00366E0C" w:rsidP="00366E0C">
          <w:r w:rsidRPr="00366E0C">
            <w:t>High growth, high value premium opportunities:</w:t>
          </w:r>
        </w:p>
        <w:p w:rsidR="00366E0C" w:rsidRPr="00366E0C" w:rsidRDefault="00366E0C" w:rsidP="00366E0C">
          <w:pPr>
            <w:numPr>
              <w:ilvl w:val="0"/>
              <w:numId w:val="6"/>
            </w:numPr>
          </w:pPr>
          <w:r w:rsidRPr="00366E0C">
            <w:t>Wine, beer</w:t>
          </w:r>
        </w:p>
        <w:p w:rsidR="00366E0C" w:rsidRPr="00366E0C" w:rsidRDefault="00366E0C" w:rsidP="00366E0C">
          <w:pPr>
            <w:numPr>
              <w:ilvl w:val="0"/>
              <w:numId w:val="6"/>
            </w:numPr>
          </w:pPr>
          <w:r w:rsidRPr="00366E0C">
            <w:t>Chocolate</w:t>
          </w:r>
        </w:p>
        <w:p w:rsidR="00366E0C" w:rsidRPr="00366E0C" w:rsidRDefault="00366E0C" w:rsidP="00366E0C">
          <w:pPr>
            <w:numPr>
              <w:ilvl w:val="0"/>
              <w:numId w:val="6"/>
            </w:numPr>
          </w:pPr>
          <w:r w:rsidRPr="00366E0C">
            <w:t>Processed ham, sausages</w:t>
          </w:r>
        </w:p>
        <w:p w:rsidR="00366E0C" w:rsidRPr="00366E0C" w:rsidRDefault="00366E0C" w:rsidP="00366E0C">
          <w:pPr>
            <w:numPr>
              <w:ilvl w:val="0"/>
              <w:numId w:val="6"/>
            </w:numPr>
          </w:pPr>
          <w:r w:rsidRPr="00366E0C">
            <w:t>Honey</w:t>
          </w:r>
        </w:p>
        <w:p w:rsidR="00366E0C" w:rsidRPr="00366E0C" w:rsidRDefault="00366E0C" w:rsidP="00366E0C">
          <w:pPr>
            <w:numPr>
              <w:ilvl w:val="0"/>
              <w:numId w:val="6"/>
            </w:numPr>
          </w:pPr>
          <w:r w:rsidRPr="00366E0C">
            <w:t xml:space="preserve">Fluid milk </w:t>
          </w:r>
        </w:p>
        <w:p w:rsidR="00366E0C" w:rsidRPr="00366E0C" w:rsidRDefault="00366E0C" w:rsidP="00366E0C">
          <w:pPr>
            <w:numPr>
              <w:ilvl w:val="0"/>
              <w:numId w:val="6"/>
            </w:numPr>
          </w:pPr>
          <w:r w:rsidRPr="00366E0C">
            <w:t>Yoghurt</w:t>
          </w:r>
        </w:p>
        <w:p w:rsidR="00366E0C" w:rsidRPr="00366E0C" w:rsidRDefault="00366E0C" w:rsidP="00366E0C">
          <w:pPr>
            <w:numPr>
              <w:ilvl w:val="0"/>
              <w:numId w:val="6"/>
            </w:numPr>
          </w:pPr>
          <w:r w:rsidRPr="00366E0C">
            <w:t>Oranges/mandarins</w:t>
          </w:r>
        </w:p>
        <w:p w:rsidR="00366E0C" w:rsidRPr="00366E0C" w:rsidRDefault="00366E0C" w:rsidP="00366E0C">
          <w:pPr>
            <w:numPr>
              <w:ilvl w:val="0"/>
              <w:numId w:val="6"/>
            </w:numPr>
          </w:pPr>
          <w:r w:rsidRPr="00366E0C">
            <w:t>Carrots</w:t>
          </w:r>
        </w:p>
        <w:p w:rsidR="00366E0C" w:rsidRPr="00366E0C" w:rsidRDefault="00366E0C" w:rsidP="00366E0C">
          <w:pPr>
            <w:numPr>
              <w:ilvl w:val="0"/>
              <w:numId w:val="6"/>
            </w:numPr>
          </w:pPr>
          <w:r w:rsidRPr="00366E0C">
            <w:t>Apples</w:t>
          </w:r>
        </w:p>
        <w:p w:rsidR="00366E0C" w:rsidRPr="00366E0C" w:rsidRDefault="00366E0C" w:rsidP="00366E0C">
          <w:pPr>
            <w:numPr>
              <w:ilvl w:val="0"/>
              <w:numId w:val="6"/>
            </w:numPr>
          </w:pPr>
          <w:r w:rsidRPr="00366E0C">
            <w:t>Avocados</w:t>
          </w:r>
        </w:p>
        <w:p w:rsidR="00366E0C" w:rsidRPr="00366E0C" w:rsidRDefault="00366E0C" w:rsidP="00366E0C">
          <w:pPr>
            <w:numPr>
              <w:ilvl w:val="0"/>
              <w:numId w:val="6"/>
            </w:numPr>
          </w:pPr>
          <w:r w:rsidRPr="00366E0C">
            <w:t>Prawns</w:t>
          </w:r>
        </w:p>
        <w:p w:rsidR="00366E0C" w:rsidRPr="00366E0C" w:rsidRDefault="00366E0C" w:rsidP="00366E0C">
          <w:pPr>
            <w:numPr>
              <w:ilvl w:val="0"/>
              <w:numId w:val="6"/>
            </w:numPr>
          </w:pPr>
          <w:r w:rsidRPr="00366E0C">
            <w:t>Rock lobster</w:t>
          </w:r>
        </w:p>
        <w:p w:rsidR="00366E0C" w:rsidRPr="00366E0C" w:rsidRDefault="00366E0C" w:rsidP="00366E0C">
          <w:pPr>
            <w:numPr>
              <w:ilvl w:val="0"/>
              <w:numId w:val="6"/>
            </w:numPr>
          </w:pPr>
          <w:r w:rsidRPr="00366E0C">
            <w:lastRenderedPageBreak/>
            <w:t>Beef</w:t>
          </w:r>
        </w:p>
        <w:p w:rsidR="00366E0C" w:rsidRPr="00366E0C" w:rsidRDefault="00366E0C" w:rsidP="00366E0C">
          <w:pPr>
            <w:numPr>
              <w:ilvl w:val="0"/>
              <w:numId w:val="6"/>
            </w:numPr>
          </w:pPr>
          <w:r w:rsidRPr="00366E0C">
            <w:t>Sheep</w:t>
          </w:r>
        </w:p>
        <w:p w:rsidR="00366E0C" w:rsidRPr="00366E0C" w:rsidRDefault="00366E0C" w:rsidP="00366E0C">
          <w:pPr>
            <w:numPr>
              <w:ilvl w:val="0"/>
              <w:numId w:val="6"/>
            </w:numPr>
          </w:pPr>
          <w:r w:rsidRPr="00366E0C">
            <w:t>Pork</w:t>
          </w:r>
        </w:p>
        <w:p w:rsidR="00366E0C" w:rsidRPr="00366E0C" w:rsidRDefault="00366E0C" w:rsidP="00366E0C">
          <w:pPr>
            <w:numPr>
              <w:ilvl w:val="0"/>
              <w:numId w:val="6"/>
            </w:numPr>
          </w:pPr>
          <w:r w:rsidRPr="00366E0C">
            <w:t>Virgin olive oil</w:t>
          </w:r>
        </w:p>
        <w:p w:rsidR="00366E0C" w:rsidRPr="00366E0C" w:rsidRDefault="00366E0C" w:rsidP="00366E0C">
          <w:pPr>
            <w:numPr>
              <w:ilvl w:val="0"/>
              <w:numId w:val="6"/>
            </w:numPr>
          </w:pPr>
          <w:r w:rsidRPr="00366E0C">
            <w:t>Animal pellets</w:t>
          </w:r>
        </w:p>
        <w:p w:rsidR="00366E0C" w:rsidRDefault="00366E0C" w:rsidP="00366E0C">
          <w:pPr>
            <w:numPr>
              <w:ilvl w:val="0"/>
              <w:numId w:val="6"/>
            </w:numPr>
          </w:pPr>
          <w:r w:rsidRPr="00366E0C">
            <w:t>Rolled oats</w:t>
          </w:r>
        </w:p>
        <w:p w:rsidR="00A6240F" w:rsidRDefault="00C10B9D" w:rsidP="00A6240F">
          <w:r>
            <w:t>(Coriolis 2016a)</w:t>
          </w:r>
        </w:p>
        <w:p w:rsidR="0006371A" w:rsidRDefault="0006371A" w:rsidP="00366E0C">
          <w:pPr>
            <w:pStyle w:val="Heading2"/>
          </w:pPr>
        </w:p>
        <w:p w:rsidR="00366E0C" w:rsidRDefault="00366E0C" w:rsidP="00366E0C">
          <w:pPr>
            <w:pStyle w:val="Heading2"/>
          </w:pPr>
          <w:r w:rsidRPr="00366E0C">
            <w:t>We know the potential investors and what they want</w:t>
          </w:r>
        </w:p>
        <w:p w:rsidR="00366E0C" w:rsidRPr="00366E0C" w:rsidRDefault="00366E0C" w:rsidP="00366E0C">
          <w:r w:rsidRPr="00366E0C">
            <w:t>Their capital will target:</w:t>
          </w:r>
        </w:p>
        <w:p w:rsidR="00366E0C" w:rsidRPr="00366E0C" w:rsidRDefault="00366E0C" w:rsidP="00366E0C">
          <w:pPr>
            <w:numPr>
              <w:ilvl w:val="0"/>
              <w:numId w:val="7"/>
            </w:numPr>
          </w:pPr>
          <w:r w:rsidRPr="00366E0C">
            <w:t>developing the sector’s value chains</w:t>
          </w:r>
        </w:p>
        <w:p w:rsidR="00366E0C" w:rsidRPr="00366E0C" w:rsidRDefault="00366E0C" w:rsidP="00366E0C">
          <w:pPr>
            <w:numPr>
              <w:ilvl w:val="0"/>
              <w:numId w:val="7"/>
            </w:numPr>
          </w:pPr>
          <w:r w:rsidRPr="00366E0C">
            <w:t>transforming WA’s raw materials into consumer-ready goods</w:t>
          </w:r>
        </w:p>
        <w:p w:rsidR="00366E0C" w:rsidRPr="00366E0C" w:rsidRDefault="00366E0C" w:rsidP="00366E0C">
          <w:pPr>
            <w:numPr>
              <w:ilvl w:val="0"/>
              <w:numId w:val="7"/>
            </w:numPr>
          </w:pPr>
          <w:r w:rsidRPr="00366E0C">
            <w:t>intensifying existing production systems</w:t>
          </w:r>
        </w:p>
        <w:p w:rsidR="00366E0C" w:rsidRDefault="00C10B9D" w:rsidP="00366E0C">
          <w:r>
            <w:t>(Coriolis 2016b).</w:t>
          </w:r>
        </w:p>
        <w:p w:rsidR="0006371A" w:rsidRDefault="0006371A" w:rsidP="00366E0C">
          <w:pPr>
            <w:pStyle w:val="Heading2"/>
          </w:pPr>
        </w:p>
        <w:p w:rsidR="00366E0C" w:rsidRPr="00366E0C" w:rsidRDefault="00366E0C" w:rsidP="00366E0C">
          <w:pPr>
            <w:pStyle w:val="Heading2"/>
          </w:pPr>
          <w:r w:rsidRPr="00366E0C">
            <w:t>We know what businesses need for WA to be internationally competitive</w:t>
          </w:r>
        </w:p>
        <w:p w:rsidR="00366E0C" w:rsidRPr="00366E0C" w:rsidRDefault="00366E0C" w:rsidP="00366E0C">
          <w:pPr>
            <w:numPr>
              <w:ilvl w:val="0"/>
              <w:numId w:val="8"/>
            </w:numPr>
          </w:pPr>
          <w:r w:rsidRPr="00366E0C">
            <w:t>Value chain productivity</w:t>
          </w:r>
        </w:p>
        <w:p w:rsidR="00366E0C" w:rsidRPr="00366E0C" w:rsidRDefault="00366E0C" w:rsidP="00366E0C">
          <w:pPr>
            <w:numPr>
              <w:ilvl w:val="0"/>
              <w:numId w:val="8"/>
            </w:numPr>
          </w:pPr>
          <w:r w:rsidRPr="00366E0C">
            <w:t>Available resources (land, water, labour, inputs)</w:t>
          </w:r>
        </w:p>
        <w:p w:rsidR="00366E0C" w:rsidRPr="00366E0C" w:rsidRDefault="00366E0C" w:rsidP="00366E0C">
          <w:pPr>
            <w:numPr>
              <w:ilvl w:val="0"/>
              <w:numId w:val="8"/>
            </w:numPr>
          </w:pPr>
          <w:r w:rsidRPr="00366E0C">
            <w:t>World-class production systems</w:t>
          </w:r>
        </w:p>
        <w:p w:rsidR="00366E0C" w:rsidRPr="00366E0C" w:rsidRDefault="00366E0C" w:rsidP="00366E0C">
          <w:pPr>
            <w:numPr>
              <w:ilvl w:val="0"/>
              <w:numId w:val="8"/>
            </w:numPr>
          </w:pPr>
          <w:r w:rsidRPr="00366E0C">
            <w:t>Efficient primary wholesale/processing</w:t>
          </w:r>
        </w:p>
        <w:p w:rsidR="00366E0C" w:rsidRPr="00366E0C" w:rsidRDefault="00366E0C" w:rsidP="00366E0C">
          <w:pPr>
            <w:numPr>
              <w:ilvl w:val="0"/>
              <w:numId w:val="8"/>
            </w:numPr>
          </w:pPr>
          <w:r w:rsidRPr="00366E0C">
            <w:t>Efficient value-added processing</w:t>
          </w:r>
        </w:p>
        <w:p w:rsidR="00366E0C" w:rsidRDefault="00366E0C" w:rsidP="00366E0C">
          <w:pPr>
            <w:numPr>
              <w:ilvl w:val="0"/>
              <w:numId w:val="8"/>
            </w:numPr>
          </w:pPr>
          <w:r w:rsidRPr="00366E0C">
            <w:t>Accessible markets</w:t>
          </w:r>
        </w:p>
        <w:p w:rsidR="00C10B9D" w:rsidRPr="00366E0C" w:rsidRDefault="00C10B9D" w:rsidP="00C10B9D">
          <w:r>
            <w:t>(Coriolis 2016c)</w:t>
          </w:r>
        </w:p>
        <w:p w:rsidR="0006371A" w:rsidRDefault="0006371A" w:rsidP="00366E0C">
          <w:pPr>
            <w:pStyle w:val="Heading2"/>
          </w:pPr>
        </w:p>
        <w:p w:rsidR="003731C8" w:rsidRDefault="003731C8">
          <w:pPr>
            <w:rPr>
              <w:rFonts w:eastAsiaTheme="majorEastAsia" w:cstheme="majorBidi"/>
              <w:b/>
              <w:color w:val="003C69"/>
              <w:sz w:val="26"/>
              <w:szCs w:val="26"/>
            </w:rPr>
          </w:pPr>
          <w:r>
            <w:br w:type="page"/>
          </w:r>
        </w:p>
        <w:p w:rsidR="00366E0C" w:rsidRDefault="00366E0C" w:rsidP="00366E0C">
          <w:pPr>
            <w:pStyle w:val="Heading2"/>
          </w:pPr>
          <w:r w:rsidRPr="00366E0C">
            <w:lastRenderedPageBreak/>
            <w:t>We know the value northern WA can add</w:t>
          </w:r>
        </w:p>
        <w:p w:rsidR="00366E0C" w:rsidRPr="00366E0C" w:rsidRDefault="00366E0C" w:rsidP="00366E0C">
          <w:r w:rsidRPr="00366E0C">
            <w:t>Opportunities in Asia and the Middle East with high growth potential and a good fit for developing the north:</w:t>
          </w:r>
        </w:p>
        <w:p w:rsidR="00366E0C" w:rsidRPr="00366E0C" w:rsidRDefault="00366E0C" w:rsidP="00366E0C">
          <w:r w:rsidRPr="00366E0C">
            <w:t>Good</w:t>
          </w:r>
        </w:p>
        <w:p w:rsidR="00366E0C" w:rsidRPr="00366E0C" w:rsidRDefault="00366E0C" w:rsidP="00366E0C">
          <w:pPr>
            <w:numPr>
              <w:ilvl w:val="0"/>
              <w:numId w:val="9"/>
            </w:numPr>
          </w:pPr>
          <w:r w:rsidRPr="00366E0C">
            <w:t xml:space="preserve">Oils: olive, sunflower, mint </w:t>
          </w:r>
        </w:p>
        <w:p w:rsidR="00366E0C" w:rsidRPr="00366E0C" w:rsidRDefault="00366E0C" w:rsidP="00366E0C">
          <w:pPr>
            <w:numPr>
              <w:ilvl w:val="0"/>
              <w:numId w:val="9"/>
            </w:numPr>
          </w:pPr>
          <w:r w:rsidRPr="00366E0C">
            <w:t>Fresh grapes</w:t>
          </w:r>
        </w:p>
        <w:p w:rsidR="00366E0C" w:rsidRPr="00366E0C" w:rsidRDefault="00366E0C" w:rsidP="00366E0C">
          <w:pPr>
            <w:numPr>
              <w:ilvl w:val="0"/>
              <w:numId w:val="9"/>
            </w:numPr>
          </w:pPr>
          <w:r w:rsidRPr="00366E0C">
            <w:t>Walnuts</w:t>
          </w:r>
        </w:p>
        <w:p w:rsidR="00366E0C" w:rsidRPr="00366E0C" w:rsidRDefault="00366E0C" w:rsidP="00366E0C">
          <w:pPr>
            <w:numPr>
              <w:ilvl w:val="0"/>
              <w:numId w:val="9"/>
            </w:numPr>
          </w:pPr>
          <w:r w:rsidRPr="00366E0C">
            <w:t>Dried beans</w:t>
          </w:r>
        </w:p>
        <w:p w:rsidR="00366E0C" w:rsidRPr="00366E0C" w:rsidRDefault="00366E0C" w:rsidP="00366E0C">
          <w:pPr>
            <w:numPr>
              <w:ilvl w:val="0"/>
              <w:numId w:val="9"/>
            </w:numPr>
          </w:pPr>
          <w:r w:rsidRPr="00366E0C">
            <w:t>Compressed hay</w:t>
          </w:r>
        </w:p>
        <w:p w:rsidR="00366E0C" w:rsidRPr="00366E0C" w:rsidRDefault="00366E0C" w:rsidP="00366E0C">
          <w:r w:rsidRPr="00366E0C">
            <w:t>Better</w:t>
          </w:r>
        </w:p>
        <w:p w:rsidR="00366E0C" w:rsidRPr="00366E0C" w:rsidRDefault="00366E0C" w:rsidP="00366E0C">
          <w:pPr>
            <w:numPr>
              <w:ilvl w:val="0"/>
              <w:numId w:val="10"/>
            </w:numPr>
          </w:pPr>
          <w:r w:rsidRPr="00366E0C">
            <w:t>Cane sugar</w:t>
          </w:r>
        </w:p>
        <w:p w:rsidR="00366E0C" w:rsidRPr="00366E0C" w:rsidRDefault="00366E0C" w:rsidP="00366E0C">
          <w:pPr>
            <w:numPr>
              <w:ilvl w:val="0"/>
              <w:numId w:val="10"/>
            </w:numPr>
          </w:pPr>
          <w:r w:rsidRPr="00366E0C">
            <w:t>Pistachios</w:t>
          </w:r>
        </w:p>
        <w:p w:rsidR="004D1CEF" w:rsidRDefault="00366E0C" w:rsidP="00366E0C">
          <w:pPr>
            <w:numPr>
              <w:ilvl w:val="0"/>
              <w:numId w:val="10"/>
            </w:numPr>
          </w:pPr>
          <w:r w:rsidRPr="00366E0C">
            <w:t>Lentils</w:t>
          </w:r>
        </w:p>
        <w:p w:rsidR="00366E0C" w:rsidRPr="00366E0C" w:rsidRDefault="004D1CEF" w:rsidP="00366E0C">
          <w:pPr>
            <w:numPr>
              <w:ilvl w:val="0"/>
              <w:numId w:val="10"/>
            </w:numPr>
          </w:pPr>
          <w:r>
            <w:t>S</w:t>
          </w:r>
          <w:r w:rsidR="00366E0C" w:rsidRPr="00366E0C">
            <w:t>oya beans</w:t>
          </w:r>
        </w:p>
        <w:p w:rsidR="00366E0C" w:rsidRPr="00366E0C" w:rsidRDefault="00366E0C" w:rsidP="00366E0C">
          <w:pPr>
            <w:numPr>
              <w:ilvl w:val="0"/>
              <w:numId w:val="10"/>
            </w:numPr>
          </w:pPr>
          <w:r w:rsidRPr="00366E0C">
            <w:t>Lucerne hay</w:t>
          </w:r>
        </w:p>
        <w:p w:rsidR="00366E0C" w:rsidRPr="00366E0C" w:rsidRDefault="00366E0C" w:rsidP="00366E0C">
          <w:pPr>
            <w:numPr>
              <w:ilvl w:val="0"/>
              <w:numId w:val="10"/>
            </w:numPr>
          </w:pPr>
          <w:r w:rsidRPr="00366E0C">
            <w:t>Castor oil</w:t>
          </w:r>
        </w:p>
        <w:p w:rsidR="00366E0C" w:rsidRPr="00366E0C" w:rsidRDefault="00366E0C" w:rsidP="00366E0C">
          <w:r w:rsidRPr="00366E0C">
            <w:t>Best</w:t>
          </w:r>
        </w:p>
        <w:p w:rsidR="00366E0C" w:rsidRPr="00366E0C" w:rsidRDefault="00366E0C" w:rsidP="00366E0C">
          <w:pPr>
            <w:numPr>
              <w:ilvl w:val="0"/>
              <w:numId w:val="11"/>
            </w:numPr>
          </w:pPr>
          <w:r w:rsidRPr="00366E0C">
            <w:t>Cassava</w:t>
          </w:r>
        </w:p>
        <w:p w:rsidR="00366E0C" w:rsidRPr="00366E0C" w:rsidRDefault="00366E0C" w:rsidP="00366E0C">
          <w:pPr>
            <w:numPr>
              <w:ilvl w:val="0"/>
              <w:numId w:val="11"/>
            </w:numPr>
          </w:pPr>
          <w:r w:rsidRPr="00366E0C">
            <w:t>Sesame seeds</w:t>
          </w:r>
        </w:p>
        <w:p w:rsidR="00366E0C" w:rsidRPr="00366E0C" w:rsidRDefault="00366E0C" w:rsidP="00366E0C">
          <w:pPr>
            <w:numPr>
              <w:ilvl w:val="0"/>
              <w:numId w:val="11"/>
            </w:numPr>
          </w:pPr>
          <w:r w:rsidRPr="00366E0C">
            <w:t>Sorghum</w:t>
          </w:r>
        </w:p>
        <w:p w:rsidR="00366E0C" w:rsidRPr="00366E0C" w:rsidRDefault="00366E0C" w:rsidP="00366E0C">
          <w:pPr>
            <w:numPr>
              <w:ilvl w:val="0"/>
              <w:numId w:val="11"/>
            </w:numPr>
          </w:pPr>
          <w:r w:rsidRPr="00366E0C">
            <w:t>Almonds</w:t>
          </w:r>
        </w:p>
        <w:p w:rsidR="00366E0C" w:rsidRPr="00366E0C" w:rsidRDefault="00366E0C" w:rsidP="00366E0C">
          <w:pPr>
            <w:numPr>
              <w:ilvl w:val="0"/>
              <w:numId w:val="11"/>
            </w:numPr>
          </w:pPr>
          <w:r w:rsidRPr="00366E0C">
            <w:t>Cotton</w:t>
          </w:r>
        </w:p>
        <w:p w:rsidR="00366E0C" w:rsidRDefault="00C10B9D" w:rsidP="00366E0C">
          <w:r>
            <w:t>(Coriolis 2015b)</w:t>
          </w:r>
        </w:p>
        <w:p w:rsidR="0006371A" w:rsidRDefault="0006371A" w:rsidP="00366E0C">
          <w:pPr>
            <w:pStyle w:val="Heading2"/>
          </w:pPr>
        </w:p>
        <w:p w:rsidR="00366E0C" w:rsidRPr="00366E0C" w:rsidRDefault="00366E0C" w:rsidP="00366E0C">
          <w:pPr>
            <w:pStyle w:val="Heading2"/>
          </w:pPr>
          <w:r w:rsidRPr="00366E0C">
            <w:t>We know what infrastructure the state needs to support this growth</w:t>
          </w:r>
        </w:p>
        <w:p w:rsidR="00366E0C" w:rsidRPr="00366E0C" w:rsidRDefault="00366E0C" w:rsidP="00366E0C">
          <w:r w:rsidRPr="00366E0C">
            <w:t>The Seizing the Opportunity Infrastructure Fund is targeting priorities:</w:t>
          </w:r>
        </w:p>
        <w:p w:rsidR="00366E0C" w:rsidRPr="00366E0C" w:rsidRDefault="00366E0C" w:rsidP="00366E0C">
          <w:pPr>
            <w:numPr>
              <w:ilvl w:val="0"/>
              <w:numId w:val="12"/>
            </w:numPr>
          </w:pPr>
          <w:r w:rsidRPr="00366E0C">
            <w:t>Mobile technology</w:t>
          </w:r>
        </w:p>
        <w:p w:rsidR="00366E0C" w:rsidRPr="00366E0C" w:rsidRDefault="00366E0C" w:rsidP="00366E0C">
          <w:pPr>
            <w:numPr>
              <w:ilvl w:val="0"/>
              <w:numId w:val="12"/>
            </w:numPr>
          </w:pPr>
          <w:r w:rsidRPr="00366E0C">
            <w:t>Coastal Doppler radars</w:t>
          </w:r>
        </w:p>
        <w:p w:rsidR="00366E0C" w:rsidRDefault="00366E0C" w:rsidP="00366E0C">
          <w:pPr>
            <w:numPr>
              <w:ilvl w:val="0"/>
              <w:numId w:val="12"/>
            </w:numPr>
          </w:pPr>
          <w:r w:rsidRPr="00366E0C">
            <w:t>Key commodity freight roads</w:t>
          </w:r>
        </w:p>
        <w:p w:rsidR="0006371A" w:rsidRDefault="00C10B9D" w:rsidP="0006371A">
          <w:r>
            <w:t>(EY 2016)</w:t>
          </w:r>
        </w:p>
        <w:p w:rsidR="00366E0C" w:rsidRDefault="00366E0C" w:rsidP="0006371A">
          <w:pPr>
            <w:pStyle w:val="Heading1"/>
          </w:pPr>
          <w:r w:rsidRPr="00366E0C">
            <w:lastRenderedPageBreak/>
            <w:t>Action: strategic direction for DAFWA</w:t>
          </w:r>
        </w:p>
        <w:p w:rsidR="00366E0C" w:rsidRDefault="00366E0C" w:rsidP="00366E0C">
          <w:r>
            <w:t>DAFWA is:</w:t>
          </w:r>
        </w:p>
        <w:p w:rsidR="00366E0C" w:rsidRDefault="00366E0C" w:rsidP="00C10B9D">
          <w:pPr>
            <w:numPr>
              <w:ilvl w:val="0"/>
              <w:numId w:val="12"/>
            </w:numPr>
          </w:pPr>
          <w:r>
            <w:t>the lead government advocate for the sector</w:t>
          </w:r>
        </w:p>
        <w:p w:rsidR="00366E0C" w:rsidRDefault="00366E0C" w:rsidP="00C10B9D">
          <w:pPr>
            <w:numPr>
              <w:ilvl w:val="0"/>
              <w:numId w:val="12"/>
            </w:numPr>
          </w:pPr>
          <w:r>
            <w:t>an economic development agency</w:t>
          </w:r>
        </w:p>
        <w:p w:rsidR="00366E0C" w:rsidRDefault="00366E0C" w:rsidP="00C10B9D">
          <w:pPr>
            <w:numPr>
              <w:ilvl w:val="0"/>
              <w:numId w:val="12"/>
            </w:numPr>
          </w:pPr>
          <w:r>
            <w:t>underpinned by science, innovation and commercial awareness.</w:t>
          </w:r>
        </w:p>
        <w:p w:rsidR="00366E0C" w:rsidRDefault="00366E0C" w:rsidP="00366E0C">
          <w:r>
            <w:t>This knowledge will inform:</w:t>
          </w:r>
        </w:p>
        <w:p w:rsidR="00366E0C" w:rsidRDefault="00366E0C" w:rsidP="00C10B9D">
          <w:pPr>
            <w:numPr>
              <w:ilvl w:val="0"/>
              <w:numId w:val="12"/>
            </w:numPr>
          </w:pPr>
          <w:r>
            <w:t>DAFWA’s next Strategic Plan: 2017–21</w:t>
          </w:r>
        </w:p>
        <w:p w:rsidR="00366E0C" w:rsidRDefault="00366E0C" w:rsidP="00C10B9D">
          <w:pPr>
            <w:numPr>
              <w:ilvl w:val="0"/>
              <w:numId w:val="12"/>
            </w:numPr>
          </w:pPr>
          <w:r>
            <w:t>a long-term strategy for the WA agrifood sector</w:t>
          </w:r>
        </w:p>
        <w:p w:rsidR="0006371A" w:rsidRDefault="00366E0C" w:rsidP="0006371A">
          <w:pPr>
            <w:numPr>
              <w:ilvl w:val="0"/>
              <w:numId w:val="12"/>
            </w:numPr>
          </w:pPr>
          <w:r>
            <w:t>how DAFWA measures the government’s impact on the sector.</w:t>
          </w:r>
        </w:p>
      </w:sdtContent>
    </w:sdt>
    <w:p w:rsidR="00A6240F" w:rsidRDefault="00A6240F" w:rsidP="0006371A">
      <w:pPr>
        <w:pStyle w:val="Heading1"/>
      </w:pPr>
      <w:r>
        <w:t>References</w:t>
      </w:r>
    </w:p>
    <w:p w:rsidR="00A6240F" w:rsidRPr="00C10B9D" w:rsidRDefault="00A6240F" w:rsidP="00C10B9D">
      <w:pPr>
        <w:pStyle w:val="ListParagraph"/>
        <w:numPr>
          <w:ilvl w:val="0"/>
          <w:numId w:val="13"/>
        </w:numPr>
        <w:rPr>
          <w:szCs w:val="24"/>
        </w:rPr>
      </w:pPr>
      <w:r w:rsidRPr="00C10B9D">
        <w:rPr>
          <w:rFonts w:cs="Arial"/>
          <w:szCs w:val="24"/>
        </w:rPr>
        <w:t xml:space="preserve">ANZ, 2012. </w:t>
      </w:r>
      <w:hyperlink r:id="rId13" w:history="1">
        <w:r w:rsidRPr="00C10B9D">
          <w:rPr>
            <w:rStyle w:val="Hyperlink"/>
            <w:rFonts w:cs="Arial"/>
            <w:szCs w:val="24"/>
          </w:rPr>
          <w:t>Greener Pastures: The Global Soft Commodity Opportunity for Australia and New Zealand</w:t>
        </w:r>
      </w:hyperlink>
    </w:p>
    <w:p w:rsidR="00C10B9D" w:rsidRPr="00C10B9D" w:rsidRDefault="00C10B9D" w:rsidP="00C10B9D">
      <w:pPr>
        <w:pStyle w:val="ListParagraph"/>
        <w:numPr>
          <w:ilvl w:val="0"/>
          <w:numId w:val="13"/>
        </w:numPr>
        <w:rPr>
          <w:rFonts w:cs="Arial"/>
          <w:szCs w:val="24"/>
        </w:rPr>
      </w:pPr>
      <w:r w:rsidRPr="00C10B9D">
        <w:rPr>
          <w:rFonts w:cs="Arial"/>
          <w:szCs w:val="24"/>
        </w:rPr>
        <w:t>Coriolis, 2015a. Driving for Agrifood Growth – Working Together to Double our Industry by 2025+</w:t>
      </w:r>
    </w:p>
    <w:p w:rsidR="00C10B9D" w:rsidRPr="00C10B9D" w:rsidRDefault="00C10B9D" w:rsidP="00C10B9D">
      <w:pPr>
        <w:pStyle w:val="ListParagraph"/>
        <w:numPr>
          <w:ilvl w:val="0"/>
          <w:numId w:val="13"/>
        </w:numPr>
      </w:pPr>
      <w:r w:rsidRPr="00C10B9D">
        <w:rPr>
          <w:rFonts w:cs="Arial"/>
          <w:szCs w:val="24"/>
        </w:rPr>
        <w:t xml:space="preserve">Coriolis, 2015b. </w:t>
      </w:r>
      <w:hyperlink r:id="rId14" w:history="1">
        <w:r w:rsidRPr="00C10B9D">
          <w:rPr>
            <w:rStyle w:val="Hyperlink"/>
            <w:rFonts w:cs="Arial"/>
            <w:szCs w:val="24"/>
          </w:rPr>
          <w:t>Growing the North</w:t>
        </w:r>
      </w:hyperlink>
    </w:p>
    <w:p w:rsidR="00C10B9D" w:rsidRPr="00C10B9D" w:rsidRDefault="00C10B9D" w:rsidP="00C10B9D">
      <w:pPr>
        <w:pStyle w:val="ListParagraph"/>
        <w:numPr>
          <w:ilvl w:val="0"/>
          <w:numId w:val="13"/>
        </w:numPr>
      </w:pPr>
      <w:r w:rsidRPr="00C10B9D">
        <w:rPr>
          <w:rFonts w:cs="Arial"/>
          <w:szCs w:val="24"/>
        </w:rPr>
        <w:t xml:space="preserve">Coriolis, 2016a. </w:t>
      </w:r>
      <w:hyperlink r:id="rId15" w:history="1">
        <w:r w:rsidRPr="00C10B9D">
          <w:rPr>
            <w:rStyle w:val="Hyperlink"/>
            <w:rFonts w:cs="Arial"/>
            <w:szCs w:val="24"/>
          </w:rPr>
          <w:t>Target Market Opportunities in Asia for Western Australian Premium Products</w:t>
        </w:r>
      </w:hyperlink>
    </w:p>
    <w:p w:rsidR="00C10B9D" w:rsidRPr="00C10B9D" w:rsidRDefault="00C10B9D" w:rsidP="00C10B9D">
      <w:pPr>
        <w:pStyle w:val="ListParagraph"/>
        <w:numPr>
          <w:ilvl w:val="0"/>
          <w:numId w:val="13"/>
        </w:numPr>
      </w:pPr>
      <w:r w:rsidRPr="00C10B9D">
        <w:rPr>
          <w:rFonts w:cs="Arial"/>
          <w:szCs w:val="24"/>
        </w:rPr>
        <w:t xml:space="preserve">Coriolis, 2016b. </w:t>
      </w:r>
      <w:hyperlink r:id="rId16" w:history="1">
        <w:r w:rsidRPr="00C10B9D">
          <w:rPr>
            <w:rStyle w:val="Hyperlink"/>
            <w:rFonts w:cs="Arial"/>
            <w:szCs w:val="24"/>
          </w:rPr>
          <w:t>Investment Ready: WA Agribusiness Report</w:t>
        </w:r>
      </w:hyperlink>
    </w:p>
    <w:p w:rsidR="00C10B9D" w:rsidRPr="00C10B9D" w:rsidRDefault="00C10B9D" w:rsidP="00C10B9D">
      <w:pPr>
        <w:pStyle w:val="ListParagraph"/>
        <w:numPr>
          <w:ilvl w:val="0"/>
          <w:numId w:val="13"/>
        </w:numPr>
      </w:pPr>
      <w:r w:rsidRPr="00C10B9D">
        <w:rPr>
          <w:rFonts w:cs="Arial"/>
          <w:szCs w:val="24"/>
        </w:rPr>
        <w:t xml:space="preserve">Coriolis, 2016c. </w:t>
      </w:r>
      <w:hyperlink r:id="rId17" w:history="1">
        <w:r w:rsidRPr="00C10B9D">
          <w:rPr>
            <w:rStyle w:val="Hyperlink"/>
            <w:rFonts w:cs="Arial"/>
            <w:szCs w:val="24"/>
          </w:rPr>
          <w:t>Pathways to Competitiveness</w:t>
        </w:r>
      </w:hyperlink>
    </w:p>
    <w:p w:rsidR="00A6240F" w:rsidRPr="00C10B9D" w:rsidRDefault="00A6240F" w:rsidP="00C10B9D">
      <w:pPr>
        <w:pStyle w:val="ListParagraph"/>
        <w:numPr>
          <w:ilvl w:val="0"/>
          <w:numId w:val="13"/>
        </w:numPr>
        <w:rPr>
          <w:rFonts w:cs="Arial"/>
          <w:szCs w:val="24"/>
        </w:rPr>
      </w:pPr>
      <w:r w:rsidRPr="00C10B9D">
        <w:rPr>
          <w:rFonts w:cs="Arial"/>
          <w:szCs w:val="24"/>
        </w:rPr>
        <w:t>DAFWA, 2012. Agrifood 2025+ Industry Workshop Report – April 2012</w:t>
      </w:r>
    </w:p>
    <w:p w:rsidR="00A6240F" w:rsidRPr="00C10B9D" w:rsidRDefault="00A6240F" w:rsidP="00C10B9D">
      <w:pPr>
        <w:pStyle w:val="ListParagraph"/>
        <w:numPr>
          <w:ilvl w:val="0"/>
          <w:numId w:val="13"/>
        </w:numPr>
        <w:rPr>
          <w:rFonts w:cs="Arial"/>
          <w:szCs w:val="24"/>
        </w:rPr>
      </w:pPr>
      <w:r w:rsidRPr="00C10B9D">
        <w:rPr>
          <w:rFonts w:cs="Arial"/>
          <w:szCs w:val="24"/>
        </w:rPr>
        <w:t xml:space="preserve">DAFWA, 2014. </w:t>
      </w:r>
      <w:hyperlink r:id="rId18" w:history="1">
        <w:r w:rsidRPr="00C10B9D">
          <w:rPr>
            <w:rStyle w:val="Hyperlink"/>
            <w:rFonts w:cs="Arial"/>
            <w:szCs w:val="24"/>
          </w:rPr>
          <w:t>Agrifood 2025+ Strategic Plan 2014</w:t>
        </w:r>
        <w:r w:rsidR="003731C8">
          <w:rPr>
            <w:rStyle w:val="Hyperlink"/>
            <w:rFonts w:cs="Arial"/>
            <w:szCs w:val="24"/>
          </w:rPr>
          <w:t>–</w:t>
        </w:r>
        <w:r w:rsidRPr="00C10B9D">
          <w:rPr>
            <w:rStyle w:val="Hyperlink"/>
            <w:rFonts w:cs="Arial"/>
            <w:szCs w:val="24"/>
          </w:rPr>
          <w:t>17</w:t>
        </w:r>
      </w:hyperlink>
    </w:p>
    <w:p w:rsidR="00C10B9D" w:rsidRPr="00C10B9D" w:rsidRDefault="00C10B9D" w:rsidP="00C10B9D">
      <w:pPr>
        <w:pStyle w:val="ListParagraph"/>
        <w:numPr>
          <w:ilvl w:val="0"/>
          <w:numId w:val="13"/>
        </w:numPr>
        <w:rPr>
          <w:rFonts w:cs="Arial"/>
          <w:szCs w:val="24"/>
        </w:rPr>
      </w:pPr>
      <w:r w:rsidRPr="00C10B9D">
        <w:rPr>
          <w:rFonts w:cs="Arial"/>
          <w:szCs w:val="24"/>
        </w:rPr>
        <w:t>DAFWA, 2016a. Western Australian Agriculture and Food: A Global Opportunity</w:t>
      </w:r>
    </w:p>
    <w:p w:rsidR="00C10B9D" w:rsidRPr="00C10B9D" w:rsidRDefault="00C10B9D" w:rsidP="00C10B9D">
      <w:pPr>
        <w:pStyle w:val="ListParagraph"/>
        <w:numPr>
          <w:ilvl w:val="0"/>
          <w:numId w:val="13"/>
        </w:numPr>
        <w:rPr>
          <w:rFonts w:cs="Arial"/>
          <w:szCs w:val="24"/>
        </w:rPr>
      </w:pPr>
      <w:r w:rsidRPr="00C10B9D">
        <w:rPr>
          <w:rFonts w:cs="Arial"/>
          <w:szCs w:val="24"/>
        </w:rPr>
        <w:t>EY, 2016. Infrastructure Audit: Evaluation of WA’s Agriculture Infrastructure Priorities</w:t>
      </w:r>
    </w:p>
    <w:p w:rsidR="00A6240F" w:rsidRPr="00C10B9D" w:rsidRDefault="00A6240F" w:rsidP="00C10B9D">
      <w:pPr>
        <w:pStyle w:val="ListParagraph"/>
        <w:numPr>
          <w:ilvl w:val="0"/>
          <w:numId w:val="13"/>
        </w:numPr>
        <w:rPr>
          <w:rFonts w:cs="Arial"/>
          <w:szCs w:val="24"/>
        </w:rPr>
      </w:pPr>
      <w:r w:rsidRPr="00C10B9D">
        <w:rPr>
          <w:rFonts w:cs="Arial"/>
          <w:szCs w:val="24"/>
        </w:rPr>
        <w:t xml:space="preserve">GIWA, 2015. </w:t>
      </w:r>
      <w:hyperlink r:id="rId19" w:history="1">
        <w:r w:rsidRPr="00C10B9D">
          <w:rPr>
            <w:rStyle w:val="Hyperlink"/>
            <w:rFonts w:cs="Arial"/>
            <w:szCs w:val="24"/>
          </w:rPr>
          <w:t>WA Grains Industry Strategy 2025+</w:t>
        </w:r>
      </w:hyperlink>
    </w:p>
    <w:p w:rsidR="00F643A6" w:rsidRDefault="006221DF" w:rsidP="00337B8D">
      <w:pPr>
        <w:rPr>
          <w:rFonts w:cs="Arial"/>
        </w:rPr>
      </w:pPr>
      <w:r>
        <w:t xml:space="preserve">Important disclaimer: </w:t>
      </w:r>
      <w:r w:rsidRPr="007753FE">
        <w:rPr>
          <w:rFonts w:cs="Arial"/>
        </w:rPr>
        <w:t>The Chief Executive Officer of the Department of Agriculture and Food and the State of Western Australia accept no liability whatsoever by reason of negligence or otherwise arising from the use or release of this information or any part of it.</w:t>
      </w:r>
    </w:p>
    <w:p w:rsidR="006360F5" w:rsidRPr="0006371A" w:rsidRDefault="006221DF" w:rsidP="00337B8D">
      <w:pPr>
        <w:rPr>
          <w:rFonts w:cs="Arial"/>
        </w:rPr>
      </w:pPr>
      <w:r w:rsidRPr="007753FE">
        <w:rPr>
          <w:rFonts w:cs="Arial"/>
        </w:rPr>
        <w:t>Copyright © Western Australian Agriculture Authority, 2017</w:t>
      </w:r>
    </w:p>
    <w:sectPr w:rsidR="006360F5" w:rsidRPr="0006371A" w:rsidSect="006360F5">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F6" w:rsidRDefault="004544F6" w:rsidP="00337B8D">
      <w:pPr>
        <w:spacing w:after="0" w:line="240" w:lineRule="auto"/>
      </w:pPr>
      <w:r>
        <w:separator/>
      </w:r>
    </w:p>
  </w:endnote>
  <w:endnote w:type="continuationSeparator" w:id="0">
    <w:p w:rsidR="004544F6" w:rsidRDefault="004544F6"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61019"/>
      <w:docPartObj>
        <w:docPartGallery w:val="Page Numbers (Bottom of Page)"/>
        <w:docPartUnique/>
      </w:docPartObj>
    </w:sdtPr>
    <w:sdtEndPr/>
    <w:sdtContent>
      <w:sdt>
        <w:sdtPr>
          <w:id w:val="860082579"/>
          <w:docPartObj>
            <w:docPartGallery w:val="Page Numbers (Top of Page)"/>
            <w:docPartUnique/>
          </w:docPartObj>
        </w:sdtPr>
        <w:sdtEndPr/>
        <w:sdtContent>
          <w:p w:rsidR="006360F5" w:rsidRDefault="006360F5">
            <w:pPr>
              <w:pStyle w:val="Footer"/>
              <w:jc w:val="right"/>
            </w:pPr>
            <w:r w:rsidRPr="006360F5">
              <w:rPr>
                <w:sz w:val="22"/>
              </w:rPr>
              <w:t xml:space="preserve">Page </w:t>
            </w:r>
            <w:r w:rsidRPr="006360F5">
              <w:rPr>
                <w:sz w:val="22"/>
              </w:rPr>
              <w:fldChar w:fldCharType="begin"/>
            </w:r>
            <w:r w:rsidRPr="006360F5">
              <w:rPr>
                <w:sz w:val="22"/>
              </w:rPr>
              <w:instrText xml:space="preserve"> PAGE </w:instrText>
            </w:r>
            <w:r w:rsidRPr="006360F5">
              <w:rPr>
                <w:sz w:val="22"/>
              </w:rPr>
              <w:fldChar w:fldCharType="separate"/>
            </w:r>
            <w:r w:rsidR="003212A4">
              <w:rPr>
                <w:noProof/>
                <w:sz w:val="22"/>
              </w:rPr>
              <w:t>4</w:t>
            </w:r>
            <w:r w:rsidRPr="006360F5">
              <w:rPr>
                <w:sz w:val="22"/>
              </w:rPr>
              <w:fldChar w:fldCharType="end"/>
            </w:r>
            <w:r w:rsidRPr="006360F5">
              <w:rPr>
                <w:sz w:val="22"/>
              </w:rPr>
              <w:t xml:space="preserve"> of </w:t>
            </w:r>
            <w:r w:rsidRPr="006360F5">
              <w:rPr>
                <w:sz w:val="22"/>
              </w:rPr>
              <w:fldChar w:fldCharType="begin"/>
            </w:r>
            <w:r w:rsidRPr="006360F5">
              <w:rPr>
                <w:sz w:val="22"/>
              </w:rPr>
              <w:instrText xml:space="preserve"> NUMPAGES  </w:instrText>
            </w:r>
            <w:r w:rsidRPr="006360F5">
              <w:rPr>
                <w:sz w:val="22"/>
              </w:rPr>
              <w:fldChar w:fldCharType="separate"/>
            </w:r>
            <w:r w:rsidR="003212A4">
              <w:rPr>
                <w:noProof/>
                <w:sz w:val="22"/>
              </w:rPr>
              <w:t>6</w:t>
            </w:r>
            <w:r w:rsidRPr="006360F5">
              <w:rPr>
                <w:sz w:val="22"/>
              </w:rPr>
              <w:fldChar w:fldCharType="end"/>
            </w:r>
          </w:p>
        </w:sdtContent>
      </w:sdt>
    </w:sdtContent>
  </w:sdt>
  <w:p w:rsidR="006360F5" w:rsidRDefault="00636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2C" w:rsidRDefault="004D3B83" w:rsidP="004D3B83">
    <w:pPr>
      <w:pStyle w:val="Heading1"/>
    </w:pPr>
    <w:r>
      <w:rPr>
        <w:noProof/>
        <w:lang w:eastAsia="en-AU"/>
      </w:rPr>
      <w:t xml:space="preserve">Supporting your </w:t>
    </w:r>
    <w:r w:rsidRPr="004D3B83">
      <w:t>success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F6" w:rsidRDefault="004544F6" w:rsidP="00337B8D">
      <w:pPr>
        <w:spacing w:after="0" w:line="240" w:lineRule="auto"/>
      </w:pPr>
      <w:r>
        <w:separator/>
      </w:r>
    </w:p>
  </w:footnote>
  <w:footnote w:type="continuationSeparator" w:id="0">
    <w:p w:rsidR="004544F6" w:rsidRDefault="004544F6" w:rsidP="0033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83" w:rsidRDefault="004D3B83">
    <w:pPr>
      <w:pStyle w:val="Header"/>
    </w:pPr>
    <w:r>
      <w:rPr>
        <w:noProof/>
        <w:lang w:eastAsia="en-AU"/>
      </w:rPr>
      <w:drawing>
        <wp:inline distT="0" distB="0" distL="0" distR="0" wp14:anchorId="3ABC0ACE" wp14:editId="5AF7647D">
          <wp:extent cx="3124200" cy="660400"/>
          <wp:effectExtent l="0" t="0" r="0" b="6350"/>
          <wp:docPr id="25" name="Picture 25" descr="Department of Agriculture and Food,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AB6"/>
    <w:multiLevelType w:val="hybridMultilevel"/>
    <w:tmpl w:val="1438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00B7FCA"/>
    <w:multiLevelType w:val="hybridMultilevel"/>
    <w:tmpl w:val="9EB63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01A23"/>
    <w:multiLevelType w:val="hybridMultilevel"/>
    <w:tmpl w:val="B902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19795E"/>
    <w:multiLevelType w:val="hybridMultilevel"/>
    <w:tmpl w:val="B6848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727F1"/>
    <w:multiLevelType w:val="hybridMultilevel"/>
    <w:tmpl w:val="25386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384764"/>
    <w:multiLevelType w:val="hybridMultilevel"/>
    <w:tmpl w:val="25DA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B0149C"/>
    <w:multiLevelType w:val="hybridMultilevel"/>
    <w:tmpl w:val="9BFCA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3369C5"/>
    <w:multiLevelType w:val="hybridMultilevel"/>
    <w:tmpl w:val="EA0A0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12"/>
  </w:num>
  <w:num w:numId="6">
    <w:abstractNumId w:val="11"/>
  </w:num>
  <w:num w:numId="7">
    <w:abstractNumId w:val="10"/>
  </w:num>
  <w:num w:numId="8">
    <w:abstractNumId w:val="7"/>
  </w:num>
  <w:num w:numId="9">
    <w:abstractNumId w:val="2"/>
  </w:num>
  <w:num w:numId="10">
    <w:abstractNumId w:val="4"/>
  </w:num>
  <w:num w:numId="11">
    <w:abstractNumId w:val="5"/>
  </w:num>
  <w:num w:numId="12">
    <w:abstractNumId w:val="8"/>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B7"/>
    <w:rsid w:val="000547F0"/>
    <w:rsid w:val="0006371A"/>
    <w:rsid w:val="000B09DC"/>
    <w:rsid w:val="000C4C0A"/>
    <w:rsid w:val="000D097F"/>
    <w:rsid w:val="0014464E"/>
    <w:rsid w:val="00180E77"/>
    <w:rsid w:val="001938C8"/>
    <w:rsid w:val="00197DE5"/>
    <w:rsid w:val="001C3698"/>
    <w:rsid w:val="001F55DA"/>
    <w:rsid w:val="002B5828"/>
    <w:rsid w:val="002C40A3"/>
    <w:rsid w:val="003212A4"/>
    <w:rsid w:val="00337B8D"/>
    <w:rsid w:val="00366E0C"/>
    <w:rsid w:val="003731C8"/>
    <w:rsid w:val="003B51F5"/>
    <w:rsid w:val="003B7FFC"/>
    <w:rsid w:val="003C1766"/>
    <w:rsid w:val="004544F6"/>
    <w:rsid w:val="004D1CEF"/>
    <w:rsid w:val="004D3B83"/>
    <w:rsid w:val="004D5328"/>
    <w:rsid w:val="004D61F3"/>
    <w:rsid w:val="00511EDE"/>
    <w:rsid w:val="005665BC"/>
    <w:rsid w:val="00571945"/>
    <w:rsid w:val="0057626A"/>
    <w:rsid w:val="005B0200"/>
    <w:rsid w:val="006221DF"/>
    <w:rsid w:val="00622B88"/>
    <w:rsid w:val="006360F5"/>
    <w:rsid w:val="00641A1D"/>
    <w:rsid w:val="006A2AC3"/>
    <w:rsid w:val="006D4FF4"/>
    <w:rsid w:val="00730156"/>
    <w:rsid w:val="00745E1F"/>
    <w:rsid w:val="007E68C6"/>
    <w:rsid w:val="007F4F3B"/>
    <w:rsid w:val="00866885"/>
    <w:rsid w:val="008C0B91"/>
    <w:rsid w:val="00900B85"/>
    <w:rsid w:val="009138EC"/>
    <w:rsid w:val="009677B7"/>
    <w:rsid w:val="00982072"/>
    <w:rsid w:val="009D4F6A"/>
    <w:rsid w:val="009D7488"/>
    <w:rsid w:val="009F6159"/>
    <w:rsid w:val="00A0469F"/>
    <w:rsid w:val="00A424DC"/>
    <w:rsid w:val="00A6240F"/>
    <w:rsid w:val="00B25D07"/>
    <w:rsid w:val="00B716D8"/>
    <w:rsid w:val="00B81C43"/>
    <w:rsid w:val="00BA5608"/>
    <w:rsid w:val="00BD08C5"/>
    <w:rsid w:val="00C10B9D"/>
    <w:rsid w:val="00CE3E17"/>
    <w:rsid w:val="00CF5056"/>
    <w:rsid w:val="00D01FAA"/>
    <w:rsid w:val="00D4711D"/>
    <w:rsid w:val="00D5793A"/>
    <w:rsid w:val="00DD1C77"/>
    <w:rsid w:val="00E103A3"/>
    <w:rsid w:val="00E33B2C"/>
    <w:rsid w:val="00E52E74"/>
    <w:rsid w:val="00F07E55"/>
    <w:rsid w:val="00F643A6"/>
    <w:rsid w:val="00FC6F73"/>
    <w:rsid w:val="00FE1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paragraph" w:styleId="FootnoteText">
    <w:name w:val="footnote text"/>
    <w:basedOn w:val="Normal"/>
    <w:link w:val="FootnoteTextChar"/>
    <w:uiPriority w:val="99"/>
    <w:semiHidden/>
    <w:unhideWhenUsed/>
    <w:rsid w:val="00366E0C"/>
    <w:pPr>
      <w:spacing w:after="0"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366E0C"/>
    <w:rPr>
      <w:sz w:val="20"/>
      <w:szCs w:val="20"/>
    </w:rPr>
  </w:style>
  <w:style w:type="character" w:styleId="FootnoteReference">
    <w:name w:val="footnote reference"/>
    <w:basedOn w:val="DefaultParagraphFont"/>
    <w:uiPriority w:val="99"/>
    <w:unhideWhenUsed/>
    <w:rsid w:val="00366E0C"/>
    <w:rPr>
      <w:vertAlign w:val="superscript"/>
    </w:rPr>
  </w:style>
  <w:style w:type="paragraph" w:styleId="EndnoteText">
    <w:name w:val="endnote text"/>
    <w:basedOn w:val="Normal"/>
    <w:link w:val="EndnoteTextChar"/>
    <w:uiPriority w:val="99"/>
    <w:semiHidden/>
    <w:unhideWhenUsed/>
    <w:rsid w:val="008C0B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B91"/>
    <w:rPr>
      <w:rFonts w:ascii="Arial" w:hAnsi="Arial"/>
      <w:color w:val="404040" w:themeColor="text1" w:themeTint="BF"/>
      <w:sz w:val="20"/>
      <w:szCs w:val="20"/>
    </w:rPr>
  </w:style>
  <w:style w:type="character" w:styleId="EndnoteReference">
    <w:name w:val="endnote reference"/>
    <w:basedOn w:val="DefaultParagraphFont"/>
    <w:uiPriority w:val="99"/>
    <w:semiHidden/>
    <w:unhideWhenUsed/>
    <w:rsid w:val="008C0B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paragraph" w:styleId="FootnoteText">
    <w:name w:val="footnote text"/>
    <w:basedOn w:val="Normal"/>
    <w:link w:val="FootnoteTextChar"/>
    <w:uiPriority w:val="99"/>
    <w:semiHidden/>
    <w:unhideWhenUsed/>
    <w:rsid w:val="00366E0C"/>
    <w:pPr>
      <w:spacing w:after="0"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366E0C"/>
    <w:rPr>
      <w:sz w:val="20"/>
      <w:szCs w:val="20"/>
    </w:rPr>
  </w:style>
  <w:style w:type="character" w:styleId="FootnoteReference">
    <w:name w:val="footnote reference"/>
    <w:basedOn w:val="DefaultParagraphFont"/>
    <w:uiPriority w:val="99"/>
    <w:unhideWhenUsed/>
    <w:rsid w:val="00366E0C"/>
    <w:rPr>
      <w:vertAlign w:val="superscript"/>
    </w:rPr>
  </w:style>
  <w:style w:type="paragraph" w:styleId="EndnoteText">
    <w:name w:val="endnote text"/>
    <w:basedOn w:val="Normal"/>
    <w:link w:val="EndnoteTextChar"/>
    <w:uiPriority w:val="99"/>
    <w:semiHidden/>
    <w:unhideWhenUsed/>
    <w:rsid w:val="008C0B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B91"/>
    <w:rPr>
      <w:rFonts w:ascii="Arial" w:hAnsi="Arial"/>
      <w:color w:val="404040" w:themeColor="text1" w:themeTint="BF"/>
      <w:sz w:val="20"/>
      <w:szCs w:val="20"/>
    </w:rPr>
  </w:style>
  <w:style w:type="character" w:styleId="EndnoteReference">
    <w:name w:val="endnote reference"/>
    <w:basedOn w:val="DefaultParagraphFont"/>
    <w:uiPriority w:val="99"/>
    <w:semiHidden/>
    <w:unhideWhenUsed/>
    <w:rsid w:val="008C0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corporate-ir.net/media_files/IROL/24/248677/ANZInsightIssue3October2012.pdf" TargetMode="External"/><Relationship Id="rId18" Type="http://schemas.openxmlformats.org/officeDocument/2006/relationships/hyperlink" Target="https://www.agric.wa.gov.au/sites/gateway/files/Department%20of%20Agriculture%20and%20Food%20Western%20Australia%20Strategic%20Plan%202014-2017.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agric.wa.gov.au/sites/gateway/files/Pathways%20to%20Competitive%20Report.pdf" TargetMode="External"/><Relationship Id="rId2" Type="http://schemas.openxmlformats.org/officeDocument/2006/relationships/numbering" Target="numbering.xml"/><Relationship Id="rId16" Type="http://schemas.openxmlformats.org/officeDocument/2006/relationships/hyperlink" Target="https://www.agric.wa.gov.au/investmentread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gric.wa.gov.au/food-export-investment/western-australian-agriculture-and-food-global-opportunity"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giwa.org.au/announcements/wa-grains-industry-strategy-202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gric.wa.gov.au/sites/gateway/files/DAFWA%20Growing%20the%20north%20market%20opportunities_0.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nsson\Desktop\Template%20-%20report%20cover%20without%20imag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4EED-ABD4-4BA0-8DC4-DA5CC030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report cover without image final</Template>
  <TotalTime>2</TotalTime>
  <Pages>6</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Fransson, Karolina</dc:creator>
  <cp:lastModifiedBy>rsturman</cp:lastModifiedBy>
  <cp:revision>3</cp:revision>
  <dcterms:created xsi:type="dcterms:W3CDTF">2017-01-30T05:29:00Z</dcterms:created>
  <dcterms:modified xsi:type="dcterms:W3CDTF">2017-01-30T06:40:00Z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A1954564</vt:lpwstr>
  </property>
  <property fmtid="{D5CDD505-2E9C-101B-9397-08002B2CF9AE}" pid="4" name="Objective-Title">
    <vt:lpwstr>Agrifood 2025+: the opportunity for Western Australia - Word</vt:lpwstr>
  </property>
  <property fmtid="{D5CDD505-2E9C-101B-9397-08002B2CF9AE}" pid="5" name="Objective-Comment">
    <vt:lpwstr/>
  </property>
  <property fmtid="{D5CDD505-2E9C-101B-9397-08002B2CF9AE}" pid="6" name="Objective-CreationStamp">
    <vt:filetime>2017-01-30T05:37:19Z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2017-01-30T06:39:53Z</vt:filetime>
  </property>
  <property fmtid="{D5CDD505-2E9C-101B-9397-08002B2CF9AE}" pid="11" name="Objective-Owner">
    <vt:lpwstr>STURMAN Ryan</vt:lpwstr>
  </property>
  <property fmtid="{D5CDD505-2E9C-101B-9397-08002B2CF9AE}" pid="12" name="Objective-Path">
    <vt:lpwstr>Objective Global Folder:01. DAFWA:Business Support (Jim Eftos):*External Publications - Gateway - Business Support:Business Support Publications:External Publications - Gateway - Annual and other Reports:Agrifood 2025+: the opportunity for Western Austral</vt:lpwstr>
  </property>
  <property fmtid="{D5CDD505-2E9C-101B-9397-08002B2CF9AE}" pid="13" name="Objective-Parent">
    <vt:lpwstr>Agrifood 2025+: the opportunity for Western Australia</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Change to alt text</vt:lpwstr>
  </property>
  <property fmtid="{D5CDD505-2E9C-101B-9397-08002B2CF9AE}" pid="18" name="Objective-FileNumber">
    <vt:lpwstr/>
  </property>
  <property fmtid="{D5CDD505-2E9C-101B-9397-08002B2CF9AE}" pid="19" name="Objective-Classification">
    <vt:lpwstr>[Inherited - Internal Information]</vt:lpwstr>
  </property>
  <property fmtid="{D5CDD505-2E9C-101B-9397-08002B2CF9AE}" pid="20" name="Objective-Caveats">
    <vt:lpwstr/>
  </property>
  <property fmtid="{D5CDD505-2E9C-101B-9397-08002B2CF9AE}" pid="21" name="Objective-CMS Deleted [system]">
    <vt:bool>false</vt:bool>
  </property>
  <property fmtid="{D5CDD505-2E9C-101B-9397-08002B2CF9AE}" pid="22" name="Objective-Stored In CMS [system]">
    <vt:bool>false</vt:bool>
  </property>
  <property fmtid="{D5CDD505-2E9C-101B-9397-08002B2CF9AE}" pid="23" name="Objective-CMS Id [system]">
    <vt:lpwstr>68250</vt:lpwstr>
  </property>
</Properties>
</file>